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561FBB" w:rsidRPr="00D379F5" w14:paraId="258BE5D8" w14:textId="77777777" w:rsidTr="00B14AB4">
        <w:trPr>
          <w:trHeight w:val="890"/>
        </w:trPr>
        <w:tc>
          <w:tcPr>
            <w:tcW w:w="44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7A78D7" w14:textId="3C5C3572" w:rsidR="00561FBB" w:rsidRDefault="00B14AB4" w:rsidP="00C157C9">
            <w:pPr>
              <w:pStyle w:val="Header"/>
              <w:tabs>
                <w:tab w:val="clear" w:pos="4320"/>
                <w:tab w:val="center" w:pos="4500"/>
              </w:tabs>
              <w:ind w:left="-180" w:right="-176"/>
              <w:jc w:val="center"/>
            </w:pPr>
            <w:r>
              <w:rPr>
                <w:noProof/>
              </w:rPr>
              <w:drawing>
                <wp:inline distT="0" distB="0" distL="0" distR="0" wp14:anchorId="38C65AF4" wp14:editId="2C9C19DC">
                  <wp:extent cx="2674620" cy="584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7AB650" w14:textId="77777777" w:rsidR="00561FBB" w:rsidRDefault="00561FBB" w:rsidP="00561FBB">
            <w:pPr>
              <w:pStyle w:val="Header"/>
              <w:jc w:val="center"/>
              <w:rPr>
                <w:b/>
                <w:sz w:val="28"/>
              </w:rPr>
            </w:pPr>
          </w:p>
          <w:p w14:paraId="71B0C53F" w14:textId="30B44833" w:rsidR="00561FBB" w:rsidRPr="00D379F5" w:rsidRDefault="00272961" w:rsidP="00561FBB">
            <w:pPr>
              <w:pStyle w:val="Head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Organization</w:t>
            </w:r>
            <w:r w:rsidR="00BC093E">
              <w:rPr>
                <w:b/>
                <w:sz w:val="28"/>
              </w:rPr>
              <w:t xml:space="preserve"> </w:t>
            </w:r>
            <w:r w:rsidR="00F56DD7">
              <w:rPr>
                <w:b/>
                <w:sz w:val="28"/>
              </w:rPr>
              <w:t>Code of Ethics</w:t>
            </w:r>
            <w:r w:rsidR="00151C26">
              <w:rPr>
                <w:b/>
                <w:sz w:val="28"/>
              </w:rPr>
              <w:t xml:space="preserve"> </w:t>
            </w:r>
          </w:p>
        </w:tc>
      </w:tr>
      <w:tr w:rsidR="00561FBB" w14:paraId="41AAF564" w14:textId="77777777">
        <w:trPr>
          <w:cantSplit/>
          <w:trHeight w:val="270"/>
        </w:trPr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D4EF0" w14:textId="77777777" w:rsidR="00561FBB" w:rsidRPr="0048732F" w:rsidRDefault="0048732F" w:rsidP="0048732F">
            <w:pPr>
              <w:pStyle w:val="Header"/>
              <w:jc w:val="center"/>
              <w:rPr>
                <w:b/>
                <w:szCs w:val="24"/>
              </w:rPr>
            </w:pPr>
            <w:r w:rsidRPr="0048732F">
              <w:rPr>
                <w:b/>
                <w:szCs w:val="24"/>
              </w:rPr>
              <w:t>Human Resources</w:t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9FAE5" w14:textId="19FCE56C" w:rsidR="00561FBB" w:rsidRPr="00A83E6D" w:rsidRDefault="00C2607C" w:rsidP="00C2607C">
            <w:pPr>
              <w:pStyle w:val="Header"/>
              <w:rPr>
                <w:szCs w:val="24"/>
              </w:rPr>
            </w:pPr>
            <w:r w:rsidRPr="00A83E6D">
              <w:rPr>
                <w:szCs w:val="24"/>
              </w:rPr>
              <w:t xml:space="preserve">Procedure </w:t>
            </w:r>
            <w:r w:rsidR="0097505A">
              <w:rPr>
                <w:szCs w:val="24"/>
              </w:rPr>
              <w:t>5</w:t>
            </w:r>
            <w:r w:rsidR="00272961">
              <w:rPr>
                <w:szCs w:val="24"/>
              </w:rPr>
              <w:t>.0</w:t>
            </w:r>
            <w:r w:rsidRPr="00A83E6D">
              <w:rPr>
                <w:szCs w:val="24"/>
              </w:rPr>
              <w:t xml:space="preserve"> </w:t>
            </w:r>
          </w:p>
        </w:tc>
      </w:tr>
      <w:tr w:rsidR="00FD6867" w:rsidRPr="0012299A" w14:paraId="0FD37483" w14:textId="77777777">
        <w:trPr>
          <w:cantSplit/>
          <w:trHeight w:val="270"/>
        </w:trPr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4D1C5" w14:textId="6822A69E" w:rsidR="00FD6867" w:rsidRPr="00A83E6D" w:rsidRDefault="00FD6867" w:rsidP="00561FBB">
            <w:pPr>
              <w:pStyle w:val="Header"/>
              <w:jc w:val="center"/>
              <w:rPr>
                <w:b/>
                <w:szCs w:val="24"/>
              </w:rPr>
            </w:pP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0679B" w14:textId="7E37C0CC" w:rsidR="00FD6867" w:rsidRPr="00A83E6D" w:rsidRDefault="00023865" w:rsidP="00561FBB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72961">
              <w:rPr>
                <w:szCs w:val="24"/>
              </w:rPr>
              <w:t xml:space="preserve">pdated </w:t>
            </w:r>
            <w:r>
              <w:rPr>
                <w:szCs w:val="24"/>
              </w:rPr>
              <w:t>2</w:t>
            </w:r>
            <w:r w:rsidR="005B38F4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  <w:bookmarkStart w:id="0" w:name="_GoBack"/>
            <w:bookmarkEnd w:id="0"/>
            <w:r w:rsidR="00C04187">
              <w:rPr>
                <w:szCs w:val="24"/>
              </w:rPr>
              <w:t xml:space="preserve">      </w:t>
            </w:r>
          </w:p>
        </w:tc>
      </w:tr>
    </w:tbl>
    <w:p w14:paraId="3E2978D7" w14:textId="77777777" w:rsidR="00176F07" w:rsidRDefault="00176F07" w:rsidP="00C2607C">
      <w:pPr>
        <w:jc w:val="both"/>
        <w:rPr>
          <w:b/>
          <w:szCs w:val="24"/>
        </w:rPr>
      </w:pPr>
    </w:p>
    <w:p w14:paraId="580DB33C" w14:textId="77777777" w:rsidR="00176F07" w:rsidRDefault="00176F07" w:rsidP="00C2607C">
      <w:pPr>
        <w:jc w:val="both"/>
        <w:rPr>
          <w:b/>
          <w:szCs w:val="24"/>
        </w:rPr>
      </w:pPr>
    </w:p>
    <w:p w14:paraId="20A1EA8D" w14:textId="77777777" w:rsidR="00C2607C" w:rsidRPr="0012299A" w:rsidRDefault="00C2607C" w:rsidP="00C2607C">
      <w:pPr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Contents</w:t>
      </w:r>
    </w:p>
    <w:p w14:paraId="7EAFF052" w14:textId="77777777" w:rsidR="00C2607C" w:rsidRPr="0012299A" w:rsidRDefault="00C2607C" w:rsidP="00C2607C">
      <w:pPr>
        <w:jc w:val="both"/>
        <w:rPr>
          <w:rFonts w:ascii="Times New Roman" w:hAnsi="Times New Roman"/>
          <w:szCs w:val="24"/>
        </w:rPr>
      </w:pPr>
    </w:p>
    <w:p w14:paraId="3EA37678" w14:textId="77777777" w:rsidR="00C2607C" w:rsidRPr="0012299A" w:rsidRDefault="00C2607C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Scope</w:t>
      </w:r>
    </w:p>
    <w:p w14:paraId="2004BD07" w14:textId="77777777" w:rsidR="00C2607C" w:rsidRPr="0012299A" w:rsidRDefault="00C2607C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Purpose</w:t>
      </w:r>
    </w:p>
    <w:p w14:paraId="70D46A71" w14:textId="77777777" w:rsidR="00151C26" w:rsidRPr="0012299A" w:rsidRDefault="00151C26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Certificate of Understanding and Compliance</w:t>
      </w:r>
    </w:p>
    <w:p w14:paraId="20045409" w14:textId="77777777" w:rsidR="00C2607C" w:rsidRPr="0012299A" w:rsidRDefault="00C2607C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Policy</w:t>
      </w:r>
    </w:p>
    <w:p w14:paraId="61188ECC" w14:textId="77777777" w:rsidR="00C2607C" w:rsidRPr="0012299A" w:rsidRDefault="008B3639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Compliance</w:t>
      </w:r>
    </w:p>
    <w:p w14:paraId="062B046D" w14:textId="77777777" w:rsidR="00C2607C" w:rsidRPr="0012299A" w:rsidRDefault="00452DAB" w:rsidP="00C2607C">
      <w:pPr>
        <w:numPr>
          <w:ilvl w:val="0"/>
          <w:numId w:val="19"/>
        </w:numPr>
        <w:ind w:left="108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Questions</w:t>
      </w:r>
    </w:p>
    <w:p w14:paraId="3B5574AF" w14:textId="77777777" w:rsidR="00176F07" w:rsidRDefault="00176F07" w:rsidP="00176F07">
      <w:pPr>
        <w:jc w:val="both"/>
        <w:rPr>
          <w:rFonts w:ascii="Times New Roman" w:hAnsi="Times New Roman"/>
          <w:szCs w:val="24"/>
        </w:rPr>
      </w:pPr>
    </w:p>
    <w:p w14:paraId="586A220F" w14:textId="77777777" w:rsidR="00176F07" w:rsidRDefault="00176F07" w:rsidP="00176F07">
      <w:pPr>
        <w:jc w:val="both"/>
        <w:rPr>
          <w:rFonts w:ascii="Times New Roman" w:hAnsi="Times New Roman"/>
          <w:szCs w:val="24"/>
        </w:rPr>
      </w:pPr>
    </w:p>
    <w:p w14:paraId="7AA97409" w14:textId="77777777" w:rsidR="00C2607C" w:rsidRPr="0012299A" w:rsidRDefault="00C2607C" w:rsidP="00C2607C">
      <w:pPr>
        <w:numPr>
          <w:ilvl w:val="0"/>
          <w:numId w:val="24"/>
        </w:numPr>
        <w:tabs>
          <w:tab w:val="clear" w:pos="78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12299A">
        <w:rPr>
          <w:rFonts w:ascii="Times New Roman" w:hAnsi="Times New Roman"/>
          <w:szCs w:val="24"/>
        </w:rPr>
        <w:t>SCOPE</w:t>
      </w:r>
    </w:p>
    <w:p w14:paraId="51D56E43" w14:textId="77777777" w:rsidR="00C2607C" w:rsidRPr="0012299A" w:rsidRDefault="00C2607C" w:rsidP="00C61CF3">
      <w:pPr>
        <w:jc w:val="both"/>
        <w:rPr>
          <w:szCs w:val="24"/>
        </w:rPr>
      </w:pPr>
    </w:p>
    <w:p w14:paraId="03F3D6E3" w14:textId="0723A39A" w:rsidR="00452DAB" w:rsidRPr="00C17E5E" w:rsidRDefault="00452DAB" w:rsidP="00452DAB">
      <w:pPr>
        <w:jc w:val="both"/>
        <w:rPr>
          <w:rFonts w:ascii="Times New Roman" w:hAnsi="Times New Roman"/>
          <w:szCs w:val="24"/>
        </w:rPr>
      </w:pPr>
      <w:r w:rsidRPr="00C17E5E">
        <w:rPr>
          <w:rFonts w:ascii="Times New Roman" w:hAnsi="Times New Roman"/>
          <w:szCs w:val="24"/>
        </w:rPr>
        <w:t xml:space="preserve">This policy applies to all </w:t>
      </w:r>
      <w:r w:rsidR="00193AB9" w:rsidRPr="00C17E5E">
        <w:rPr>
          <w:rFonts w:ascii="Times New Roman" w:hAnsi="Times New Roman"/>
          <w:szCs w:val="24"/>
        </w:rPr>
        <w:t xml:space="preserve">officers, </w:t>
      </w:r>
      <w:r w:rsidR="007F5801" w:rsidRPr="00C17E5E">
        <w:rPr>
          <w:rFonts w:ascii="Times New Roman" w:hAnsi="Times New Roman"/>
          <w:szCs w:val="24"/>
        </w:rPr>
        <w:t>directors</w:t>
      </w:r>
      <w:r w:rsidR="00193AB9" w:rsidRPr="00C17E5E">
        <w:rPr>
          <w:rFonts w:ascii="Times New Roman" w:hAnsi="Times New Roman"/>
          <w:szCs w:val="24"/>
        </w:rPr>
        <w:t xml:space="preserve">, </w:t>
      </w:r>
      <w:r w:rsidRPr="00C17E5E">
        <w:rPr>
          <w:rFonts w:ascii="Times New Roman" w:hAnsi="Times New Roman"/>
          <w:szCs w:val="24"/>
        </w:rPr>
        <w:t>employees including full-time, part-time</w:t>
      </w:r>
      <w:r w:rsidR="00864945" w:rsidRPr="00C17E5E">
        <w:rPr>
          <w:rFonts w:ascii="Times New Roman" w:hAnsi="Times New Roman"/>
          <w:szCs w:val="24"/>
        </w:rPr>
        <w:t xml:space="preserve"> and </w:t>
      </w:r>
      <w:r w:rsidRPr="00C17E5E">
        <w:rPr>
          <w:rFonts w:ascii="Times New Roman" w:hAnsi="Times New Roman"/>
          <w:szCs w:val="24"/>
        </w:rPr>
        <w:t>temporary</w:t>
      </w:r>
      <w:r w:rsidR="00864945" w:rsidRPr="00C17E5E">
        <w:rPr>
          <w:rFonts w:ascii="Times New Roman" w:hAnsi="Times New Roman"/>
          <w:szCs w:val="24"/>
        </w:rPr>
        <w:t>, and contract staff</w:t>
      </w:r>
      <w:r w:rsidR="0097505A">
        <w:rPr>
          <w:rFonts w:ascii="Times New Roman" w:hAnsi="Times New Roman"/>
          <w:szCs w:val="24"/>
        </w:rPr>
        <w:t>, as well as members of the Editorial Advisory and Securities Review Committee</w:t>
      </w:r>
      <w:r w:rsidR="00864945" w:rsidRPr="00C17E5E">
        <w:rPr>
          <w:rFonts w:ascii="Times New Roman" w:hAnsi="Times New Roman"/>
          <w:szCs w:val="24"/>
        </w:rPr>
        <w:t xml:space="preserve"> </w:t>
      </w:r>
      <w:r w:rsidRPr="00C17E5E">
        <w:rPr>
          <w:rFonts w:ascii="Times New Roman" w:hAnsi="Times New Roman"/>
          <w:szCs w:val="24"/>
        </w:rPr>
        <w:t xml:space="preserve">(the “individuals”) of </w:t>
      </w:r>
      <w:r w:rsidR="00725531" w:rsidRPr="00C17E5E">
        <w:rPr>
          <w:rFonts w:ascii="Times New Roman" w:hAnsi="Times New Roman"/>
          <w:szCs w:val="24"/>
        </w:rPr>
        <w:t xml:space="preserve">the National Association of Investors Corporation </w:t>
      </w:r>
      <w:r w:rsidR="00B14AB4" w:rsidRPr="00C17E5E">
        <w:rPr>
          <w:rFonts w:ascii="Times New Roman" w:hAnsi="Times New Roman"/>
          <w:szCs w:val="24"/>
        </w:rPr>
        <w:t xml:space="preserve">dba </w:t>
      </w:r>
      <w:r w:rsidR="00A83E6D" w:rsidRPr="00C17E5E">
        <w:rPr>
          <w:rFonts w:ascii="Times New Roman" w:hAnsi="Times New Roman"/>
          <w:szCs w:val="24"/>
        </w:rPr>
        <w:t xml:space="preserve">BetterInvesting </w:t>
      </w:r>
      <w:r w:rsidRPr="00C17E5E">
        <w:rPr>
          <w:rFonts w:ascii="Times New Roman" w:hAnsi="Times New Roman"/>
          <w:szCs w:val="24"/>
        </w:rPr>
        <w:t>(the “</w:t>
      </w:r>
      <w:r w:rsidR="00272961" w:rsidRPr="00C17E5E">
        <w:rPr>
          <w:rFonts w:ascii="Times New Roman" w:hAnsi="Times New Roman"/>
          <w:szCs w:val="24"/>
        </w:rPr>
        <w:t>Organization</w:t>
      </w:r>
      <w:r w:rsidRPr="00C17E5E">
        <w:rPr>
          <w:rFonts w:ascii="Times New Roman" w:hAnsi="Times New Roman"/>
          <w:szCs w:val="24"/>
        </w:rPr>
        <w:t xml:space="preserve">”).    </w:t>
      </w:r>
    </w:p>
    <w:p w14:paraId="3C876E13" w14:textId="77777777" w:rsidR="00C2607C" w:rsidRPr="00C17E5E" w:rsidRDefault="00C2607C" w:rsidP="00C2607C">
      <w:pPr>
        <w:jc w:val="both"/>
        <w:rPr>
          <w:rFonts w:ascii="Times New Roman" w:hAnsi="Times New Roman"/>
          <w:szCs w:val="24"/>
        </w:rPr>
      </w:pPr>
    </w:p>
    <w:p w14:paraId="32969DCE" w14:textId="77777777" w:rsidR="00C2607C" w:rsidRPr="00C17E5E" w:rsidRDefault="00C2607C" w:rsidP="00C2607C">
      <w:pPr>
        <w:numPr>
          <w:ilvl w:val="0"/>
          <w:numId w:val="24"/>
        </w:numPr>
        <w:tabs>
          <w:tab w:val="clear" w:pos="78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C17E5E">
        <w:rPr>
          <w:rFonts w:ascii="Times New Roman" w:hAnsi="Times New Roman"/>
          <w:szCs w:val="24"/>
        </w:rPr>
        <w:t>PURPOSE</w:t>
      </w:r>
    </w:p>
    <w:p w14:paraId="5730A593" w14:textId="49FEA640" w:rsidR="008952B1" w:rsidRPr="00C17E5E" w:rsidRDefault="008952B1" w:rsidP="008952B1">
      <w:pPr>
        <w:pStyle w:val="NormalWeb"/>
        <w:jc w:val="both"/>
      </w:pPr>
      <w:r w:rsidRPr="00C17E5E">
        <w:t xml:space="preserve">The </w:t>
      </w:r>
      <w:r w:rsidR="00272961" w:rsidRPr="00C17E5E">
        <w:t>Organization</w:t>
      </w:r>
      <w:r w:rsidR="008B3639" w:rsidRPr="00C17E5E">
        <w:t xml:space="preserve">, </w:t>
      </w:r>
      <w:r w:rsidRPr="00C17E5E">
        <w:t>wishing to foster the highest standards of investment education</w:t>
      </w:r>
      <w:r w:rsidR="00430BA6" w:rsidRPr="00C17E5E">
        <w:t xml:space="preserve"> and </w:t>
      </w:r>
      <w:r w:rsidR="0010686C" w:rsidRPr="00C17E5E">
        <w:t>dedicated to d</w:t>
      </w:r>
      <w:r w:rsidRPr="00C17E5E">
        <w:t xml:space="preserve">elivering the resources that will enable individuals to become </w:t>
      </w:r>
      <w:r w:rsidR="00A83E6D" w:rsidRPr="00C17E5E">
        <w:t xml:space="preserve">Better Investors, </w:t>
      </w:r>
      <w:r w:rsidR="0010686C" w:rsidRPr="00C17E5E">
        <w:t>es</w:t>
      </w:r>
      <w:r w:rsidRPr="00C17E5E">
        <w:t xml:space="preserve">tablishes this </w:t>
      </w:r>
      <w:r w:rsidR="00272961" w:rsidRPr="00C17E5E">
        <w:t>Organization</w:t>
      </w:r>
      <w:r w:rsidR="00BC093E" w:rsidRPr="00C17E5E">
        <w:t xml:space="preserve"> </w:t>
      </w:r>
      <w:r w:rsidRPr="00C17E5E">
        <w:t>Code of Ethics</w:t>
      </w:r>
      <w:r w:rsidR="00C95338" w:rsidRPr="00C17E5E">
        <w:t xml:space="preserve"> (the “Code”).</w:t>
      </w:r>
      <w:r w:rsidR="0010686C" w:rsidRPr="00C17E5E">
        <w:t xml:space="preserve"> </w:t>
      </w:r>
      <w:r w:rsidRPr="00C17E5E">
        <w:t xml:space="preserve"> </w:t>
      </w:r>
    </w:p>
    <w:p w14:paraId="004CEC05" w14:textId="77777777" w:rsidR="0010686C" w:rsidRPr="00C17E5E" w:rsidRDefault="00151C26" w:rsidP="00151C26">
      <w:pPr>
        <w:numPr>
          <w:ilvl w:val="0"/>
          <w:numId w:val="24"/>
        </w:numPr>
        <w:tabs>
          <w:tab w:val="clear" w:pos="780"/>
          <w:tab w:val="num" w:pos="360"/>
        </w:tabs>
        <w:ind w:left="360"/>
        <w:jc w:val="both"/>
        <w:rPr>
          <w:rFonts w:ascii="Times New Roman" w:eastAsia="Times New Roman" w:hAnsi="Times New Roman"/>
          <w:szCs w:val="24"/>
        </w:rPr>
      </w:pPr>
      <w:r w:rsidRPr="00C17E5E">
        <w:rPr>
          <w:rFonts w:ascii="Times New Roman" w:eastAsia="Times New Roman" w:hAnsi="Times New Roman"/>
          <w:szCs w:val="24"/>
        </w:rPr>
        <w:t>CERTIFICATE OF UNDERSTANDING AND COMPLIANCE</w:t>
      </w:r>
    </w:p>
    <w:p w14:paraId="220739B6" w14:textId="77777777" w:rsidR="00151C26" w:rsidRPr="00C17E5E" w:rsidRDefault="00151C26" w:rsidP="00151C26">
      <w:pPr>
        <w:jc w:val="both"/>
        <w:rPr>
          <w:rFonts w:ascii="Times New Roman" w:eastAsia="Times New Roman" w:hAnsi="Times New Roman"/>
          <w:szCs w:val="24"/>
        </w:rPr>
      </w:pPr>
    </w:p>
    <w:p w14:paraId="0A3DAFF2" w14:textId="77777777" w:rsidR="00151C26" w:rsidRPr="00C17E5E" w:rsidRDefault="00151C26" w:rsidP="0010686C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  <w:r w:rsidRPr="00C17E5E">
        <w:rPr>
          <w:rFonts w:ascii="Times New Roman" w:eastAsia="Times New Roman" w:hAnsi="Times New Roman"/>
          <w:szCs w:val="24"/>
        </w:rPr>
        <w:t>All individuals will be required to sign</w:t>
      </w:r>
      <w:r w:rsidR="0012299A" w:rsidRPr="00C17E5E">
        <w:rPr>
          <w:rFonts w:ascii="Times New Roman" w:eastAsia="Times New Roman" w:hAnsi="Times New Roman"/>
          <w:szCs w:val="24"/>
        </w:rPr>
        <w:t xml:space="preserve">, annually, a </w:t>
      </w:r>
      <w:r w:rsidRPr="00C17E5E">
        <w:rPr>
          <w:rFonts w:ascii="Times New Roman" w:eastAsia="Times New Roman" w:hAnsi="Times New Roman"/>
          <w:szCs w:val="24"/>
        </w:rPr>
        <w:t>certificate of understanding and compliance (</w:t>
      </w:r>
      <w:r w:rsidR="008E7960" w:rsidRPr="00C17E5E">
        <w:rPr>
          <w:rFonts w:ascii="Times New Roman" w:eastAsia="Times New Roman" w:hAnsi="Times New Roman"/>
          <w:szCs w:val="24"/>
        </w:rPr>
        <w:t xml:space="preserve">see </w:t>
      </w:r>
      <w:r w:rsidR="008E7960" w:rsidRPr="00C17E5E">
        <w:rPr>
          <w:rFonts w:ascii="Times New Roman" w:eastAsia="Times New Roman" w:hAnsi="Times New Roman"/>
          <w:i/>
          <w:szCs w:val="24"/>
        </w:rPr>
        <w:t>Code</w:t>
      </w:r>
      <w:r w:rsidR="00193AB9" w:rsidRPr="00C17E5E">
        <w:rPr>
          <w:rFonts w:ascii="Times New Roman" w:eastAsia="Times New Roman" w:hAnsi="Times New Roman"/>
          <w:i/>
          <w:szCs w:val="24"/>
        </w:rPr>
        <w:t xml:space="preserve"> of Ethics C</w:t>
      </w:r>
      <w:r w:rsidRPr="00C17E5E">
        <w:rPr>
          <w:rFonts w:ascii="Times New Roman" w:eastAsia="Times New Roman" w:hAnsi="Times New Roman"/>
          <w:i/>
          <w:szCs w:val="24"/>
        </w:rPr>
        <w:t>ertificate of Understanding and Compliance)</w:t>
      </w:r>
      <w:r w:rsidRPr="00C17E5E">
        <w:rPr>
          <w:rFonts w:ascii="Times New Roman" w:eastAsia="Times New Roman" w:hAnsi="Times New Roman"/>
          <w:szCs w:val="24"/>
        </w:rPr>
        <w:t xml:space="preserve"> acknowledging and accepting the provisions of th</w:t>
      </w:r>
      <w:r w:rsidR="00AB46C5" w:rsidRPr="00C17E5E">
        <w:rPr>
          <w:rFonts w:ascii="Times New Roman" w:eastAsia="Times New Roman" w:hAnsi="Times New Roman"/>
          <w:szCs w:val="24"/>
        </w:rPr>
        <w:t xml:space="preserve">e </w:t>
      </w:r>
      <w:r w:rsidRPr="00C17E5E">
        <w:rPr>
          <w:rFonts w:ascii="Times New Roman" w:eastAsia="Times New Roman" w:hAnsi="Times New Roman"/>
          <w:szCs w:val="24"/>
        </w:rPr>
        <w:t>Code</w:t>
      </w:r>
      <w:r w:rsidR="00AB46C5" w:rsidRPr="00C17E5E">
        <w:rPr>
          <w:rFonts w:ascii="Times New Roman" w:eastAsia="Times New Roman" w:hAnsi="Times New Roman"/>
          <w:szCs w:val="24"/>
        </w:rPr>
        <w:t xml:space="preserve">. </w:t>
      </w:r>
      <w:r w:rsidRPr="00C17E5E">
        <w:rPr>
          <w:rFonts w:ascii="Times New Roman" w:eastAsia="Times New Roman" w:hAnsi="Times New Roman"/>
          <w:szCs w:val="24"/>
        </w:rPr>
        <w:t xml:space="preserve">  </w:t>
      </w:r>
    </w:p>
    <w:p w14:paraId="7B939AF2" w14:textId="77777777" w:rsidR="00151C26" w:rsidRPr="0012299A" w:rsidRDefault="00151C26" w:rsidP="0010686C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</w:p>
    <w:p w14:paraId="68AC336B" w14:textId="77777777" w:rsidR="00151C26" w:rsidRPr="0012299A" w:rsidRDefault="00151C26" w:rsidP="00151C26">
      <w:pPr>
        <w:numPr>
          <w:ilvl w:val="0"/>
          <w:numId w:val="32"/>
        </w:numPr>
        <w:shd w:val="clear" w:color="auto" w:fill="FFFFFF"/>
        <w:tabs>
          <w:tab w:val="clear" w:pos="2880"/>
          <w:tab w:val="num" w:pos="360"/>
        </w:tabs>
        <w:ind w:left="360"/>
        <w:jc w:val="both"/>
        <w:rPr>
          <w:rFonts w:ascii="Times New Roman" w:eastAsia="Times New Roman" w:hAnsi="Times New Roman"/>
          <w:color w:val="000000"/>
          <w:szCs w:val="24"/>
        </w:rPr>
      </w:pPr>
      <w:r w:rsidRPr="0012299A">
        <w:rPr>
          <w:rFonts w:ascii="Times New Roman" w:eastAsia="Times New Roman" w:hAnsi="Times New Roman"/>
          <w:szCs w:val="24"/>
        </w:rPr>
        <w:t>POLICY</w:t>
      </w:r>
    </w:p>
    <w:p w14:paraId="313D734D" w14:textId="77777777" w:rsidR="00151C26" w:rsidRPr="0012299A" w:rsidRDefault="00151C26" w:rsidP="00151C26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D7D2C3D" w14:textId="38090339" w:rsidR="00272F03" w:rsidRPr="0012299A" w:rsidRDefault="00430BA6" w:rsidP="00151C26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4"/>
        </w:rPr>
      </w:pPr>
      <w:r w:rsidRPr="0012299A">
        <w:rPr>
          <w:rFonts w:ascii="Times New Roman" w:eastAsia="Times New Roman" w:hAnsi="Times New Roman"/>
          <w:szCs w:val="24"/>
        </w:rPr>
        <w:t xml:space="preserve">At the </w:t>
      </w:r>
      <w:r w:rsidR="00272961">
        <w:rPr>
          <w:rFonts w:ascii="Times New Roman" w:eastAsia="Times New Roman" w:hAnsi="Times New Roman"/>
          <w:szCs w:val="24"/>
        </w:rPr>
        <w:t>Organization</w:t>
      </w:r>
      <w:r w:rsidRPr="0012299A">
        <w:rPr>
          <w:rFonts w:ascii="Times New Roman" w:eastAsia="Times New Roman" w:hAnsi="Times New Roman"/>
          <w:szCs w:val="24"/>
        </w:rPr>
        <w:t xml:space="preserve"> we expect all individuals to conduct business </w:t>
      </w:r>
      <w:r w:rsidR="008B3639" w:rsidRPr="0012299A">
        <w:rPr>
          <w:rFonts w:ascii="Times New Roman" w:eastAsia="Times New Roman" w:hAnsi="Times New Roman"/>
          <w:szCs w:val="24"/>
        </w:rPr>
        <w:t xml:space="preserve">in </w:t>
      </w:r>
      <w:r w:rsidRPr="0012299A">
        <w:rPr>
          <w:rFonts w:ascii="Times New Roman" w:eastAsia="Times New Roman" w:hAnsi="Times New Roman"/>
          <w:szCs w:val="24"/>
        </w:rPr>
        <w:t xml:space="preserve">an ethical and lawful manner, </w:t>
      </w:r>
      <w:r w:rsidR="00272F03" w:rsidRPr="0012299A">
        <w:rPr>
          <w:rFonts w:ascii="Times New Roman" w:eastAsia="Times New Roman" w:hAnsi="Times New Roman"/>
          <w:color w:val="000000"/>
          <w:szCs w:val="24"/>
        </w:rPr>
        <w:t>comply</w:t>
      </w:r>
      <w:r w:rsidRPr="0012299A">
        <w:rPr>
          <w:rFonts w:ascii="Times New Roman" w:eastAsia="Times New Roman" w:hAnsi="Times New Roman"/>
          <w:color w:val="000000"/>
          <w:szCs w:val="24"/>
        </w:rPr>
        <w:t xml:space="preserve">ing </w:t>
      </w:r>
      <w:r w:rsidR="00272F03" w:rsidRPr="0012299A">
        <w:rPr>
          <w:rFonts w:ascii="Times New Roman" w:eastAsia="Times New Roman" w:hAnsi="Times New Roman"/>
          <w:color w:val="000000"/>
          <w:szCs w:val="24"/>
        </w:rPr>
        <w:t>with all applicable laws in a manner that excludes considerations of personal advantage or gain.</w:t>
      </w:r>
    </w:p>
    <w:p w14:paraId="6616DCC6" w14:textId="77777777" w:rsidR="00C27F9F" w:rsidRPr="0012299A" w:rsidRDefault="00C27F9F" w:rsidP="00C61CF3">
      <w:pPr>
        <w:jc w:val="both"/>
        <w:rPr>
          <w:szCs w:val="24"/>
        </w:rPr>
      </w:pPr>
    </w:p>
    <w:p w14:paraId="1620961D" w14:textId="4CCD64C4" w:rsidR="00272F03" w:rsidRPr="0012299A" w:rsidRDefault="00430BA6" w:rsidP="00C61CF3">
      <w:pPr>
        <w:jc w:val="both"/>
        <w:rPr>
          <w:szCs w:val="24"/>
        </w:rPr>
      </w:pPr>
      <w:r w:rsidRPr="0012299A">
        <w:rPr>
          <w:szCs w:val="24"/>
        </w:rPr>
        <w:t>The standards presented in th</w:t>
      </w:r>
      <w:r w:rsidR="00AB46C5">
        <w:rPr>
          <w:szCs w:val="24"/>
        </w:rPr>
        <w:t xml:space="preserve">e Code </w:t>
      </w:r>
      <w:r w:rsidRPr="0012299A">
        <w:rPr>
          <w:szCs w:val="24"/>
        </w:rPr>
        <w:t xml:space="preserve">cannot cover every situation.  </w:t>
      </w:r>
      <w:r w:rsidR="00272F03" w:rsidRPr="0012299A">
        <w:rPr>
          <w:szCs w:val="24"/>
        </w:rPr>
        <w:t>The following is a summary of the</w:t>
      </w:r>
      <w:r w:rsidRPr="0012299A">
        <w:rPr>
          <w:szCs w:val="24"/>
        </w:rPr>
        <w:t xml:space="preserve"> </w:t>
      </w:r>
      <w:r w:rsidR="00272961">
        <w:rPr>
          <w:szCs w:val="24"/>
        </w:rPr>
        <w:t>Organization</w:t>
      </w:r>
      <w:r w:rsidRPr="0012299A">
        <w:rPr>
          <w:szCs w:val="24"/>
        </w:rPr>
        <w:t xml:space="preserve">’s </w:t>
      </w:r>
      <w:r w:rsidR="00272F03" w:rsidRPr="0012299A">
        <w:rPr>
          <w:szCs w:val="24"/>
        </w:rPr>
        <w:t>policy with respect to:</w:t>
      </w:r>
    </w:p>
    <w:p w14:paraId="7B2B8583" w14:textId="77777777" w:rsidR="00C8494C" w:rsidRPr="0012299A" w:rsidRDefault="00C8494C" w:rsidP="00C61CF3">
      <w:pPr>
        <w:jc w:val="both"/>
        <w:rPr>
          <w:szCs w:val="24"/>
        </w:rPr>
      </w:pPr>
    </w:p>
    <w:p w14:paraId="4FADEE85" w14:textId="7E1BCB24" w:rsidR="005C7404" w:rsidRPr="0012299A" w:rsidRDefault="0010686C" w:rsidP="00176F07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 w:rsidRPr="0012299A">
        <w:rPr>
          <w:i/>
          <w:szCs w:val="24"/>
        </w:rPr>
        <w:lastRenderedPageBreak/>
        <w:t xml:space="preserve">Use of </w:t>
      </w:r>
      <w:r w:rsidR="00A86CF5" w:rsidRPr="0012299A">
        <w:rPr>
          <w:i/>
          <w:szCs w:val="24"/>
        </w:rPr>
        <w:t>Inside Information</w:t>
      </w:r>
      <w:r w:rsidR="00272F03" w:rsidRPr="0012299A">
        <w:rPr>
          <w:i/>
          <w:szCs w:val="24"/>
        </w:rPr>
        <w:t xml:space="preserve">.  </w:t>
      </w:r>
      <w:r w:rsidR="00C27F9F" w:rsidRPr="0012299A">
        <w:rPr>
          <w:szCs w:val="24"/>
        </w:rPr>
        <w:t xml:space="preserve">The </w:t>
      </w:r>
      <w:r w:rsidR="00272961">
        <w:rPr>
          <w:szCs w:val="24"/>
        </w:rPr>
        <w:t>Organization</w:t>
      </w:r>
      <w:r w:rsidR="00A82836" w:rsidRPr="0012299A">
        <w:rPr>
          <w:szCs w:val="24"/>
        </w:rPr>
        <w:t xml:space="preserve"> </w:t>
      </w:r>
      <w:r w:rsidR="005C7404" w:rsidRPr="0012299A">
        <w:rPr>
          <w:szCs w:val="24"/>
        </w:rPr>
        <w:t xml:space="preserve">has a long-standing commitment to compliance with applicable Federal securities laws and regulations.  The </w:t>
      </w:r>
      <w:r w:rsidR="00272961">
        <w:rPr>
          <w:szCs w:val="24"/>
        </w:rPr>
        <w:t>Organization</w:t>
      </w:r>
      <w:r w:rsidR="005C7404" w:rsidRPr="0012299A">
        <w:rPr>
          <w:szCs w:val="24"/>
        </w:rPr>
        <w:t xml:space="preserve"> </w:t>
      </w:r>
      <w:r w:rsidR="00C27F9F" w:rsidRPr="0012299A">
        <w:rPr>
          <w:szCs w:val="24"/>
        </w:rPr>
        <w:t>publishes</w:t>
      </w:r>
      <w:r w:rsidR="00C27F9F" w:rsidRPr="0012299A">
        <w:rPr>
          <w:i/>
          <w:szCs w:val="24"/>
        </w:rPr>
        <w:t xml:space="preserve"> BetterInvesting</w:t>
      </w:r>
      <w:r w:rsidR="00725531">
        <w:rPr>
          <w:i/>
          <w:szCs w:val="24"/>
        </w:rPr>
        <w:t xml:space="preserve"> </w:t>
      </w:r>
      <w:r w:rsidR="00B14AB4" w:rsidRPr="00C157C9">
        <w:rPr>
          <w:i/>
          <w:szCs w:val="24"/>
        </w:rPr>
        <w:t>M</w:t>
      </w:r>
      <w:r w:rsidR="00C27F9F" w:rsidRPr="00C157C9">
        <w:rPr>
          <w:i/>
          <w:szCs w:val="24"/>
        </w:rPr>
        <w:t>agazine</w:t>
      </w:r>
      <w:r w:rsidR="00176F07">
        <w:rPr>
          <w:szCs w:val="24"/>
        </w:rPr>
        <w:t>.  I</w:t>
      </w:r>
      <w:r w:rsidRPr="0012299A">
        <w:rPr>
          <w:szCs w:val="24"/>
        </w:rPr>
        <w:t xml:space="preserve">ndividuals </w:t>
      </w:r>
      <w:r w:rsidR="00C27F9F" w:rsidRPr="0012299A">
        <w:rPr>
          <w:szCs w:val="24"/>
        </w:rPr>
        <w:t>in the normal course of business may become aware, before publication, of a number of stocks</w:t>
      </w:r>
      <w:r w:rsidR="00B14AB4">
        <w:rPr>
          <w:szCs w:val="24"/>
        </w:rPr>
        <w:t>, or other investments,</w:t>
      </w:r>
      <w:r w:rsidR="00C27F9F" w:rsidRPr="0012299A">
        <w:rPr>
          <w:szCs w:val="24"/>
        </w:rPr>
        <w:t xml:space="preserve"> that will be mentioned </w:t>
      </w:r>
      <w:r w:rsidR="002B56E9">
        <w:rPr>
          <w:szCs w:val="24"/>
        </w:rPr>
        <w:t>including</w:t>
      </w:r>
      <w:r w:rsidR="00C27F9F" w:rsidRPr="0012299A">
        <w:rPr>
          <w:szCs w:val="24"/>
        </w:rPr>
        <w:t xml:space="preserve"> </w:t>
      </w:r>
      <w:r w:rsidR="00C27F9F" w:rsidRPr="0012299A">
        <w:rPr>
          <w:i/>
          <w:szCs w:val="24"/>
        </w:rPr>
        <w:t>Stocks to Study</w:t>
      </w:r>
      <w:r w:rsidR="00176F07">
        <w:rPr>
          <w:szCs w:val="24"/>
        </w:rPr>
        <w:t xml:space="preserve">. </w:t>
      </w:r>
    </w:p>
    <w:p w14:paraId="5EA44EF0" w14:textId="77777777" w:rsidR="005C7404" w:rsidRPr="0012299A" w:rsidRDefault="005C7404" w:rsidP="005C7404">
      <w:pPr>
        <w:jc w:val="both"/>
        <w:rPr>
          <w:szCs w:val="24"/>
        </w:rPr>
      </w:pPr>
    </w:p>
    <w:p w14:paraId="6075393C" w14:textId="1D07ADB0" w:rsidR="00582A55" w:rsidRPr="0012299A" w:rsidRDefault="00C27F9F" w:rsidP="005C7404">
      <w:pPr>
        <w:ind w:left="360"/>
        <w:jc w:val="both"/>
        <w:rPr>
          <w:szCs w:val="24"/>
        </w:rPr>
      </w:pPr>
      <w:r w:rsidRPr="0012299A">
        <w:rPr>
          <w:szCs w:val="24"/>
        </w:rPr>
        <w:t>This information is privileged and confidential.</w:t>
      </w:r>
      <w:r w:rsidR="005C7404" w:rsidRPr="0012299A">
        <w:rPr>
          <w:szCs w:val="24"/>
        </w:rPr>
        <w:t xml:space="preserve">  F</w:t>
      </w:r>
      <w:r w:rsidRPr="0012299A">
        <w:rPr>
          <w:szCs w:val="24"/>
        </w:rPr>
        <w:t xml:space="preserve">ederal securities laws and the policies of the </w:t>
      </w:r>
      <w:r w:rsidR="00272961">
        <w:rPr>
          <w:szCs w:val="24"/>
        </w:rPr>
        <w:t>Organization</w:t>
      </w:r>
      <w:r w:rsidR="00A82836" w:rsidRPr="0012299A">
        <w:rPr>
          <w:szCs w:val="24"/>
        </w:rPr>
        <w:t xml:space="preserve"> </w:t>
      </w:r>
      <w:r w:rsidRPr="0012299A">
        <w:rPr>
          <w:szCs w:val="24"/>
        </w:rPr>
        <w:t xml:space="preserve">provide that </w:t>
      </w:r>
      <w:r w:rsidR="0010686C" w:rsidRPr="0012299A">
        <w:rPr>
          <w:szCs w:val="24"/>
        </w:rPr>
        <w:t xml:space="preserve">individuals </w:t>
      </w:r>
      <w:r w:rsidRPr="0012299A">
        <w:rPr>
          <w:szCs w:val="24"/>
        </w:rPr>
        <w:t>have a duty not to (i) disclose th</w:t>
      </w:r>
      <w:r w:rsidR="00B6068D" w:rsidRPr="0012299A">
        <w:rPr>
          <w:szCs w:val="24"/>
        </w:rPr>
        <w:t>e</w:t>
      </w:r>
      <w:r w:rsidRPr="0012299A">
        <w:rPr>
          <w:szCs w:val="24"/>
        </w:rPr>
        <w:t xml:space="preserve"> information to any family member or other person, (ii) buy, sell or recommend any securities on the basis of th</w:t>
      </w:r>
      <w:r w:rsidR="00B6068D" w:rsidRPr="0012299A">
        <w:rPr>
          <w:szCs w:val="24"/>
        </w:rPr>
        <w:t xml:space="preserve">e </w:t>
      </w:r>
      <w:r w:rsidRPr="0012299A">
        <w:rPr>
          <w:szCs w:val="24"/>
        </w:rPr>
        <w:t>information (whether for personal, investment club, or any other accounts), or (iii) permit any person to buy or sell any securities on the basis of th</w:t>
      </w:r>
      <w:r w:rsidR="00B6068D" w:rsidRPr="0012299A">
        <w:rPr>
          <w:szCs w:val="24"/>
        </w:rPr>
        <w:t xml:space="preserve">e </w:t>
      </w:r>
      <w:r w:rsidRPr="0012299A">
        <w:rPr>
          <w:szCs w:val="24"/>
        </w:rPr>
        <w:t xml:space="preserve">information. These restrictions apply until the information has been </w:t>
      </w:r>
      <w:r w:rsidR="005C7404" w:rsidRPr="0012299A">
        <w:rPr>
          <w:szCs w:val="24"/>
        </w:rPr>
        <w:t xml:space="preserve">adequately </w:t>
      </w:r>
      <w:r w:rsidRPr="0012299A">
        <w:rPr>
          <w:szCs w:val="24"/>
        </w:rPr>
        <w:t xml:space="preserve">disclosed </w:t>
      </w:r>
      <w:r w:rsidR="005C7404" w:rsidRPr="0012299A">
        <w:rPr>
          <w:szCs w:val="24"/>
        </w:rPr>
        <w:t>to the public, which means that information must be publicly disclosed, and adequate time must have passed for the securities market to digest the information.  A delay of three days is generally considered a sufficient period for routine information to be absorbed by the market</w:t>
      </w:r>
      <w:r w:rsidRPr="0012299A">
        <w:rPr>
          <w:szCs w:val="24"/>
        </w:rPr>
        <w:t>.</w:t>
      </w:r>
    </w:p>
    <w:p w14:paraId="0C2189CB" w14:textId="77777777" w:rsidR="005C7404" w:rsidRPr="0012299A" w:rsidRDefault="005C7404" w:rsidP="005C7404">
      <w:pPr>
        <w:ind w:left="360"/>
        <w:jc w:val="both"/>
        <w:rPr>
          <w:szCs w:val="24"/>
        </w:rPr>
      </w:pPr>
    </w:p>
    <w:p w14:paraId="7DAFDFCC" w14:textId="780CAD76" w:rsidR="00272F03" w:rsidRPr="0012299A" w:rsidRDefault="00272F03" w:rsidP="00272F03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 w:rsidRPr="0012299A">
        <w:rPr>
          <w:i/>
          <w:szCs w:val="24"/>
        </w:rPr>
        <w:t xml:space="preserve">Gifts, Favors, Entertainment, and Payments.  </w:t>
      </w:r>
      <w:r w:rsidR="0010686C" w:rsidRPr="0012299A">
        <w:rPr>
          <w:szCs w:val="24"/>
        </w:rPr>
        <w:t xml:space="preserve">Individuals </w:t>
      </w:r>
      <w:r w:rsidRPr="0012299A">
        <w:rPr>
          <w:szCs w:val="24"/>
        </w:rPr>
        <w:t>shall not o</w:t>
      </w:r>
      <w:r w:rsidR="00582A55" w:rsidRPr="0012299A">
        <w:rPr>
          <w:szCs w:val="24"/>
        </w:rPr>
        <w:t>ffer, accept</w:t>
      </w:r>
      <w:r w:rsidR="00A86CF5" w:rsidRPr="0012299A">
        <w:rPr>
          <w:szCs w:val="24"/>
        </w:rPr>
        <w:t xml:space="preserve"> </w:t>
      </w:r>
      <w:r w:rsidR="00582A55" w:rsidRPr="0012299A">
        <w:rPr>
          <w:szCs w:val="24"/>
        </w:rPr>
        <w:t xml:space="preserve">or solicit money, property, service or other items of </w:t>
      </w:r>
      <w:r w:rsidR="00A86CF5" w:rsidRPr="0012299A">
        <w:rPr>
          <w:szCs w:val="24"/>
        </w:rPr>
        <w:t xml:space="preserve">more than </w:t>
      </w:r>
      <w:r w:rsidR="008D7324">
        <w:rPr>
          <w:szCs w:val="24"/>
        </w:rPr>
        <w:t xml:space="preserve">$100.00 </w:t>
      </w:r>
      <w:r w:rsidR="00A86CF5" w:rsidRPr="0012299A">
        <w:rPr>
          <w:szCs w:val="24"/>
        </w:rPr>
        <w:t xml:space="preserve">from any person or entity that does business, or desires to do business with </w:t>
      </w:r>
      <w:r w:rsidR="00A82836" w:rsidRPr="0012299A">
        <w:rPr>
          <w:szCs w:val="24"/>
        </w:rPr>
        <w:t xml:space="preserve">the </w:t>
      </w:r>
      <w:r w:rsidR="00272961">
        <w:rPr>
          <w:szCs w:val="24"/>
        </w:rPr>
        <w:t>Organization</w:t>
      </w:r>
      <w:r w:rsidR="00A86CF5" w:rsidRPr="0012299A">
        <w:rPr>
          <w:szCs w:val="24"/>
        </w:rPr>
        <w:t>.</w:t>
      </w:r>
      <w:r w:rsidR="00151C26" w:rsidRPr="0012299A">
        <w:rPr>
          <w:szCs w:val="24"/>
        </w:rPr>
        <w:t xml:space="preserve">  </w:t>
      </w:r>
      <w:r w:rsidR="006725DB">
        <w:rPr>
          <w:szCs w:val="24"/>
        </w:rPr>
        <w:t xml:space="preserve">An individual may accept payment for travel expenses </w:t>
      </w:r>
      <w:r w:rsidR="00F57623">
        <w:rPr>
          <w:szCs w:val="24"/>
        </w:rPr>
        <w:t xml:space="preserve">that are consistent with the </w:t>
      </w:r>
      <w:r w:rsidR="00272961">
        <w:rPr>
          <w:szCs w:val="24"/>
        </w:rPr>
        <w:t>Organization</w:t>
      </w:r>
      <w:r w:rsidR="00F57623">
        <w:rPr>
          <w:szCs w:val="24"/>
        </w:rPr>
        <w:t xml:space="preserve">’s Business Expense Policy </w:t>
      </w:r>
      <w:r w:rsidR="006725DB">
        <w:rPr>
          <w:szCs w:val="24"/>
        </w:rPr>
        <w:t xml:space="preserve">to attend </w:t>
      </w:r>
      <w:r w:rsidR="00F57623">
        <w:rPr>
          <w:szCs w:val="24"/>
        </w:rPr>
        <w:t xml:space="preserve">or speak at </w:t>
      </w:r>
      <w:r w:rsidR="006725DB">
        <w:rPr>
          <w:szCs w:val="24"/>
        </w:rPr>
        <w:t xml:space="preserve">an investor education event. </w:t>
      </w:r>
      <w:r w:rsidR="00151C26" w:rsidRPr="0012299A">
        <w:rPr>
          <w:szCs w:val="24"/>
        </w:rPr>
        <w:t>(</w:t>
      </w:r>
      <w:r w:rsidR="00452739">
        <w:rPr>
          <w:i/>
          <w:szCs w:val="24"/>
        </w:rPr>
        <w:t xml:space="preserve">Refer to </w:t>
      </w:r>
      <w:r w:rsidR="00F57623">
        <w:rPr>
          <w:i/>
          <w:szCs w:val="24"/>
        </w:rPr>
        <w:t>BetterInvesting</w:t>
      </w:r>
      <w:r w:rsidR="00452739">
        <w:rPr>
          <w:i/>
          <w:szCs w:val="24"/>
        </w:rPr>
        <w:t xml:space="preserve">, </w:t>
      </w:r>
      <w:r w:rsidR="00151C26" w:rsidRPr="00452739">
        <w:rPr>
          <w:i/>
          <w:szCs w:val="24"/>
        </w:rPr>
        <w:t xml:space="preserve">Purchasing </w:t>
      </w:r>
      <w:r w:rsidR="008A3538">
        <w:rPr>
          <w:i/>
          <w:szCs w:val="24"/>
        </w:rPr>
        <w:t>Procedure and Authority Delegation as well as BetterInvesting Business Expense Policy</w:t>
      </w:r>
      <w:r w:rsidR="00151C26" w:rsidRPr="0012299A">
        <w:rPr>
          <w:i/>
          <w:szCs w:val="24"/>
        </w:rPr>
        <w:t xml:space="preserve">). </w:t>
      </w:r>
      <w:r w:rsidR="00791F81" w:rsidRPr="0012299A">
        <w:rPr>
          <w:szCs w:val="24"/>
        </w:rPr>
        <w:t xml:space="preserve">    </w:t>
      </w:r>
      <w:r w:rsidR="00A86CF5" w:rsidRPr="0012299A">
        <w:rPr>
          <w:szCs w:val="24"/>
        </w:rPr>
        <w:t xml:space="preserve"> </w:t>
      </w:r>
    </w:p>
    <w:p w14:paraId="5F299802" w14:textId="77777777" w:rsidR="002A186F" w:rsidRPr="0012299A" w:rsidRDefault="002A186F" w:rsidP="002A186F">
      <w:pPr>
        <w:jc w:val="both"/>
        <w:rPr>
          <w:szCs w:val="24"/>
        </w:rPr>
      </w:pPr>
    </w:p>
    <w:p w14:paraId="59B96B27" w14:textId="24404C7D" w:rsidR="002A186F" w:rsidRPr="0012299A" w:rsidRDefault="00272961" w:rsidP="002A186F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>
        <w:rPr>
          <w:i/>
          <w:szCs w:val="24"/>
        </w:rPr>
        <w:t>Organization</w:t>
      </w:r>
      <w:r w:rsidR="002A186F" w:rsidRPr="0012299A">
        <w:rPr>
          <w:i/>
          <w:szCs w:val="24"/>
        </w:rPr>
        <w:t>-</w:t>
      </w:r>
      <w:r w:rsidR="00791F81" w:rsidRPr="0012299A">
        <w:rPr>
          <w:i/>
          <w:szCs w:val="24"/>
        </w:rPr>
        <w:t>O</w:t>
      </w:r>
      <w:r w:rsidR="002A186F" w:rsidRPr="0012299A">
        <w:rPr>
          <w:i/>
          <w:szCs w:val="24"/>
        </w:rPr>
        <w:t xml:space="preserve">wned Property. </w:t>
      </w:r>
      <w:r w:rsidR="008B3639" w:rsidRPr="0012299A">
        <w:rPr>
          <w:i/>
          <w:szCs w:val="24"/>
        </w:rPr>
        <w:t xml:space="preserve"> </w:t>
      </w:r>
      <w:r w:rsidR="0010686C" w:rsidRPr="0012299A">
        <w:rPr>
          <w:szCs w:val="24"/>
        </w:rPr>
        <w:t>Individuals shall not u</w:t>
      </w:r>
      <w:r w:rsidR="002A186F" w:rsidRPr="0012299A">
        <w:rPr>
          <w:szCs w:val="24"/>
        </w:rPr>
        <w:t xml:space="preserve">se any </w:t>
      </w:r>
      <w:r>
        <w:rPr>
          <w:szCs w:val="24"/>
        </w:rPr>
        <w:t>Organization</w:t>
      </w:r>
      <w:r w:rsidR="002A186F" w:rsidRPr="0012299A">
        <w:rPr>
          <w:szCs w:val="24"/>
        </w:rPr>
        <w:t xml:space="preserve"> owned facility, building, equipment, material</w:t>
      </w:r>
      <w:r w:rsidR="00864945" w:rsidRPr="0012299A">
        <w:rPr>
          <w:szCs w:val="24"/>
        </w:rPr>
        <w:t>, or veh</w:t>
      </w:r>
      <w:r w:rsidR="002A186F" w:rsidRPr="0012299A">
        <w:rPr>
          <w:szCs w:val="24"/>
        </w:rPr>
        <w:t>icle for their personal use or benefit, or for the personal use or benefit of any other individual.</w:t>
      </w:r>
      <w:r w:rsidR="00791F81" w:rsidRPr="0012299A">
        <w:rPr>
          <w:szCs w:val="24"/>
        </w:rPr>
        <w:t xml:space="preserve">  </w:t>
      </w:r>
      <w:r w:rsidR="002A186F" w:rsidRPr="0012299A">
        <w:rPr>
          <w:szCs w:val="24"/>
        </w:rPr>
        <w:t xml:space="preserve">No </w:t>
      </w:r>
      <w:r w:rsidR="0010686C" w:rsidRPr="0012299A">
        <w:rPr>
          <w:szCs w:val="24"/>
        </w:rPr>
        <w:t xml:space="preserve">individual </w:t>
      </w:r>
      <w:r w:rsidR="002A186F" w:rsidRPr="0012299A">
        <w:rPr>
          <w:szCs w:val="24"/>
        </w:rPr>
        <w:t xml:space="preserve">shall have unauthorized possession of </w:t>
      </w:r>
      <w:r>
        <w:rPr>
          <w:szCs w:val="24"/>
        </w:rPr>
        <w:t>Organization</w:t>
      </w:r>
      <w:r w:rsidR="002A186F" w:rsidRPr="0012299A">
        <w:rPr>
          <w:szCs w:val="24"/>
        </w:rPr>
        <w:t xml:space="preserve"> property. </w:t>
      </w:r>
    </w:p>
    <w:p w14:paraId="39509C9F" w14:textId="77777777" w:rsidR="00272F03" w:rsidRPr="0012299A" w:rsidRDefault="00272F03" w:rsidP="00272F03">
      <w:pPr>
        <w:jc w:val="both"/>
        <w:rPr>
          <w:szCs w:val="24"/>
        </w:rPr>
      </w:pPr>
    </w:p>
    <w:p w14:paraId="6495575A" w14:textId="5A9C6F78" w:rsidR="00272F03" w:rsidRPr="0012299A" w:rsidRDefault="00272F03" w:rsidP="00176F07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 w:rsidRPr="0012299A">
        <w:rPr>
          <w:i/>
          <w:szCs w:val="24"/>
        </w:rPr>
        <w:t xml:space="preserve">Conflicts of Interest. </w:t>
      </w:r>
      <w:r w:rsidR="0010686C" w:rsidRPr="0012299A">
        <w:rPr>
          <w:szCs w:val="24"/>
        </w:rPr>
        <w:t xml:space="preserve">Individuals </w:t>
      </w:r>
      <w:r w:rsidR="00791F81" w:rsidRPr="0012299A">
        <w:rPr>
          <w:szCs w:val="24"/>
        </w:rPr>
        <w:t xml:space="preserve">are expected to dedicate their best efforts of advancing the </w:t>
      </w:r>
      <w:r w:rsidR="00272961">
        <w:rPr>
          <w:szCs w:val="24"/>
        </w:rPr>
        <w:t>Organization</w:t>
      </w:r>
      <w:r w:rsidR="00791F81" w:rsidRPr="0012299A">
        <w:rPr>
          <w:szCs w:val="24"/>
        </w:rPr>
        <w:t xml:space="preserve">’s interests and to use objective and unbiased standards when making decisions that affect the </w:t>
      </w:r>
      <w:r w:rsidR="008A3538">
        <w:rPr>
          <w:szCs w:val="24"/>
        </w:rPr>
        <w:t xml:space="preserve">entire NAIC </w:t>
      </w:r>
      <w:r w:rsidR="00272961">
        <w:rPr>
          <w:szCs w:val="24"/>
        </w:rPr>
        <w:t>Organization</w:t>
      </w:r>
      <w:r w:rsidR="008A3538">
        <w:rPr>
          <w:szCs w:val="24"/>
        </w:rPr>
        <w:t xml:space="preserve"> (BetterInvesting and ICLUBcentral)</w:t>
      </w:r>
      <w:r w:rsidR="00791F81" w:rsidRPr="0012299A">
        <w:rPr>
          <w:szCs w:val="24"/>
        </w:rPr>
        <w:t xml:space="preserve">.  A conflict of interest occurs </w:t>
      </w:r>
      <w:r w:rsidR="0012299A" w:rsidRPr="0012299A">
        <w:rPr>
          <w:szCs w:val="24"/>
        </w:rPr>
        <w:t xml:space="preserve">when </w:t>
      </w:r>
      <w:r w:rsidR="008B3639" w:rsidRPr="0012299A">
        <w:rPr>
          <w:szCs w:val="24"/>
        </w:rPr>
        <w:t xml:space="preserve">an individual’s </w:t>
      </w:r>
      <w:r w:rsidR="00D44D72">
        <w:rPr>
          <w:szCs w:val="24"/>
        </w:rPr>
        <w:t xml:space="preserve">private </w:t>
      </w:r>
      <w:r w:rsidR="00791F81" w:rsidRPr="0012299A">
        <w:rPr>
          <w:szCs w:val="24"/>
        </w:rPr>
        <w:t xml:space="preserve">interests interfere in any way, or even appear to interfere, with the interests of the </w:t>
      </w:r>
      <w:r w:rsidR="00272961">
        <w:rPr>
          <w:szCs w:val="24"/>
        </w:rPr>
        <w:t>Organization</w:t>
      </w:r>
      <w:r w:rsidR="00791F81" w:rsidRPr="0012299A">
        <w:rPr>
          <w:szCs w:val="24"/>
        </w:rPr>
        <w:t xml:space="preserve">.  </w:t>
      </w:r>
      <w:r w:rsidR="008B3639" w:rsidRPr="0012299A">
        <w:rPr>
          <w:szCs w:val="24"/>
        </w:rPr>
        <w:t xml:space="preserve">All individuals are </w:t>
      </w:r>
      <w:r w:rsidR="00791F81" w:rsidRPr="0012299A">
        <w:rPr>
          <w:szCs w:val="24"/>
        </w:rPr>
        <w:t>obligat</w:t>
      </w:r>
      <w:r w:rsidR="008B3639" w:rsidRPr="0012299A">
        <w:rPr>
          <w:szCs w:val="24"/>
        </w:rPr>
        <w:t xml:space="preserve">ed </w:t>
      </w:r>
      <w:r w:rsidR="00791F81" w:rsidRPr="0012299A">
        <w:rPr>
          <w:szCs w:val="24"/>
        </w:rPr>
        <w:t xml:space="preserve">to conduct the </w:t>
      </w:r>
      <w:r w:rsidR="00272961">
        <w:rPr>
          <w:szCs w:val="24"/>
        </w:rPr>
        <w:t>Organization</w:t>
      </w:r>
      <w:r w:rsidR="00791F81" w:rsidRPr="0012299A">
        <w:rPr>
          <w:szCs w:val="24"/>
        </w:rPr>
        <w:t>’s business in an honest and ethical manner includ</w:t>
      </w:r>
      <w:r w:rsidR="008B3639" w:rsidRPr="0012299A">
        <w:rPr>
          <w:szCs w:val="24"/>
        </w:rPr>
        <w:t xml:space="preserve">ing </w:t>
      </w:r>
      <w:r w:rsidR="00791F81" w:rsidRPr="0012299A">
        <w:rPr>
          <w:szCs w:val="24"/>
        </w:rPr>
        <w:t xml:space="preserve">the ethical handling of actual or apparent conflicts of interest between </w:t>
      </w:r>
      <w:r w:rsidR="00D44D72">
        <w:rPr>
          <w:szCs w:val="24"/>
        </w:rPr>
        <w:t xml:space="preserve">private </w:t>
      </w:r>
      <w:r w:rsidR="00791F81" w:rsidRPr="0012299A">
        <w:rPr>
          <w:szCs w:val="24"/>
        </w:rPr>
        <w:t xml:space="preserve">and business relationships.  </w:t>
      </w:r>
      <w:r w:rsidR="002A0D47" w:rsidRPr="0012299A">
        <w:rPr>
          <w:szCs w:val="24"/>
        </w:rPr>
        <w:t xml:space="preserve">Any individual </w:t>
      </w:r>
      <w:r w:rsidRPr="0012299A">
        <w:rPr>
          <w:szCs w:val="24"/>
        </w:rPr>
        <w:t>shall make prompt and full disclosure in writing of any potential situation which may involve a conflict of interest</w:t>
      </w:r>
      <w:r w:rsidR="002A0D47" w:rsidRPr="0012299A">
        <w:rPr>
          <w:szCs w:val="24"/>
        </w:rPr>
        <w:t xml:space="preserve"> and forward such disclosure to </w:t>
      </w:r>
      <w:r w:rsidR="00D44D72">
        <w:rPr>
          <w:szCs w:val="24"/>
        </w:rPr>
        <w:t xml:space="preserve">the </w:t>
      </w:r>
      <w:r w:rsidR="00272961">
        <w:rPr>
          <w:szCs w:val="24"/>
        </w:rPr>
        <w:t>Organization</w:t>
      </w:r>
      <w:r w:rsidR="00D44D72">
        <w:rPr>
          <w:szCs w:val="24"/>
        </w:rPr>
        <w:t xml:space="preserve">’s </w:t>
      </w:r>
      <w:r w:rsidR="00E73835">
        <w:rPr>
          <w:szCs w:val="24"/>
        </w:rPr>
        <w:t>CEO</w:t>
      </w:r>
      <w:r w:rsidR="00176F07">
        <w:rPr>
          <w:szCs w:val="24"/>
        </w:rPr>
        <w:t xml:space="preserve">, </w:t>
      </w:r>
      <w:r w:rsidR="006F2FDF">
        <w:rPr>
          <w:szCs w:val="24"/>
        </w:rPr>
        <w:t xml:space="preserve">or </w:t>
      </w:r>
      <w:r w:rsidR="00DF1266">
        <w:rPr>
          <w:szCs w:val="24"/>
        </w:rPr>
        <w:t>Director of Shared Services</w:t>
      </w:r>
      <w:r w:rsidR="006F2FDF">
        <w:rPr>
          <w:szCs w:val="24"/>
        </w:rPr>
        <w:t>.</w:t>
      </w:r>
      <w:r w:rsidR="002B56E9">
        <w:rPr>
          <w:szCs w:val="24"/>
        </w:rPr>
        <w:t xml:space="preserve"> If any potential situation may involve the CEO, then this disclosure should be sent to the Chair of the Finance &amp; Audit Committee.</w:t>
      </w:r>
      <w:r w:rsidR="002A0D47" w:rsidRPr="0012299A">
        <w:rPr>
          <w:szCs w:val="24"/>
        </w:rPr>
        <w:t xml:space="preserve">  </w:t>
      </w:r>
    </w:p>
    <w:p w14:paraId="5044FE7F" w14:textId="77777777" w:rsidR="002A186F" w:rsidRPr="0012299A" w:rsidRDefault="002A186F" w:rsidP="002A186F">
      <w:pPr>
        <w:jc w:val="both"/>
        <w:rPr>
          <w:szCs w:val="24"/>
        </w:rPr>
      </w:pPr>
    </w:p>
    <w:p w14:paraId="01E43012" w14:textId="32D6D978" w:rsidR="005C7404" w:rsidRPr="0012299A" w:rsidRDefault="002A186F" w:rsidP="00272F03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 w:rsidRPr="0012299A">
        <w:rPr>
          <w:i/>
          <w:szCs w:val="24"/>
        </w:rPr>
        <w:t xml:space="preserve">Confidential Information. </w:t>
      </w:r>
      <w:r w:rsidRPr="0012299A">
        <w:rPr>
          <w:szCs w:val="24"/>
        </w:rPr>
        <w:t>The revelation o</w:t>
      </w:r>
      <w:r w:rsidR="00791F81" w:rsidRPr="0012299A">
        <w:rPr>
          <w:szCs w:val="24"/>
        </w:rPr>
        <w:t>r</w:t>
      </w:r>
      <w:r w:rsidRPr="0012299A">
        <w:rPr>
          <w:szCs w:val="24"/>
        </w:rPr>
        <w:t xml:space="preserve"> use of any confidential product information, data on decisions, plans, or an</w:t>
      </w:r>
      <w:r w:rsidR="0010686C" w:rsidRPr="0012299A">
        <w:rPr>
          <w:szCs w:val="24"/>
        </w:rPr>
        <w:t>y</w:t>
      </w:r>
      <w:r w:rsidRPr="0012299A">
        <w:rPr>
          <w:szCs w:val="24"/>
        </w:rPr>
        <w:t xml:space="preserve"> other information</w:t>
      </w:r>
      <w:r w:rsidR="00C85DAF">
        <w:rPr>
          <w:szCs w:val="24"/>
        </w:rPr>
        <w:t xml:space="preserve"> including </w:t>
      </w:r>
      <w:r w:rsidR="00D2032B">
        <w:rPr>
          <w:szCs w:val="24"/>
        </w:rPr>
        <w:t xml:space="preserve">financials and </w:t>
      </w:r>
      <w:r w:rsidR="00C85DAF">
        <w:rPr>
          <w:szCs w:val="24"/>
        </w:rPr>
        <w:t>membership metrics</w:t>
      </w:r>
      <w:r w:rsidRPr="0012299A">
        <w:rPr>
          <w:szCs w:val="24"/>
        </w:rPr>
        <w:t xml:space="preserve"> which might be contrary to the interest of the </w:t>
      </w:r>
      <w:r w:rsidR="00272961">
        <w:rPr>
          <w:szCs w:val="24"/>
        </w:rPr>
        <w:t>Organization</w:t>
      </w:r>
      <w:r w:rsidRPr="0012299A">
        <w:rPr>
          <w:szCs w:val="24"/>
        </w:rPr>
        <w:t xml:space="preserve"> without prior authorization, is </w:t>
      </w:r>
      <w:r w:rsidR="00791F81" w:rsidRPr="0012299A">
        <w:rPr>
          <w:szCs w:val="24"/>
        </w:rPr>
        <w:t xml:space="preserve">strictly </w:t>
      </w:r>
      <w:r w:rsidRPr="0012299A">
        <w:rPr>
          <w:szCs w:val="24"/>
        </w:rPr>
        <w:t xml:space="preserve">prohibited.  The misuse, unauthorized access to, or </w:t>
      </w:r>
      <w:r w:rsidRPr="0012299A">
        <w:rPr>
          <w:szCs w:val="24"/>
        </w:rPr>
        <w:lastRenderedPageBreak/>
        <w:t xml:space="preserve">mishandling of confidential information, </w:t>
      </w:r>
      <w:r w:rsidR="00791F81" w:rsidRPr="0012299A">
        <w:rPr>
          <w:szCs w:val="24"/>
        </w:rPr>
        <w:t xml:space="preserve">including </w:t>
      </w:r>
      <w:r w:rsidRPr="0012299A">
        <w:rPr>
          <w:szCs w:val="24"/>
        </w:rPr>
        <w:t>personnel information, is strictly prohibited</w:t>
      </w:r>
      <w:r w:rsidR="00430BA6" w:rsidRPr="0012299A">
        <w:rPr>
          <w:szCs w:val="24"/>
        </w:rPr>
        <w:t>.</w:t>
      </w:r>
    </w:p>
    <w:p w14:paraId="2A14E587" w14:textId="77777777" w:rsidR="005C7404" w:rsidRPr="0012299A" w:rsidRDefault="005C7404" w:rsidP="005C7404">
      <w:pPr>
        <w:jc w:val="both"/>
        <w:rPr>
          <w:szCs w:val="24"/>
        </w:rPr>
      </w:pPr>
    </w:p>
    <w:p w14:paraId="7EB62E5A" w14:textId="7C3B8253" w:rsidR="002A186F" w:rsidRPr="0012299A" w:rsidRDefault="005C7404" w:rsidP="00272F03">
      <w:pPr>
        <w:numPr>
          <w:ilvl w:val="0"/>
          <w:numId w:val="16"/>
        </w:numPr>
        <w:tabs>
          <w:tab w:val="clear" w:pos="780"/>
          <w:tab w:val="num" w:pos="360"/>
        </w:tabs>
        <w:ind w:left="360"/>
        <w:jc w:val="both"/>
        <w:rPr>
          <w:szCs w:val="24"/>
        </w:rPr>
      </w:pPr>
      <w:r w:rsidRPr="0012299A">
        <w:rPr>
          <w:i/>
          <w:szCs w:val="24"/>
        </w:rPr>
        <w:t xml:space="preserve">Computer System Security and Control.  </w:t>
      </w:r>
      <w:r w:rsidR="008B3639" w:rsidRPr="0012299A">
        <w:rPr>
          <w:szCs w:val="24"/>
        </w:rPr>
        <w:t xml:space="preserve">The </w:t>
      </w:r>
      <w:r w:rsidR="00272961">
        <w:rPr>
          <w:szCs w:val="24"/>
        </w:rPr>
        <w:t>Organization</w:t>
      </w:r>
      <w:r w:rsidR="008B3639" w:rsidRPr="0012299A">
        <w:rPr>
          <w:szCs w:val="24"/>
        </w:rPr>
        <w:t xml:space="preserve"> utilizes various computer equipment and automated systems in the processing of data and the maintenance of member</w:t>
      </w:r>
      <w:r w:rsidR="00D44D72">
        <w:rPr>
          <w:szCs w:val="24"/>
        </w:rPr>
        <w:t xml:space="preserve">, </w:t>
      </w:r>
      <w:r w:rsidR="008B3639" w:rsidRPr="0012299A">
        <w:rPr>
          <w:szCs w:val="24"/>
        </w:rPr>
        <w:t>historical</w:t>
      </w:r>
      <w:r w:rsidR="00D44D72">
        <w:rPr>
          <w:szCs w:val="24"/>
        </w:rPr>
        <w:t xml:space="preserve">, and other </w:t>
      </w:r>
      <w:r w:rsidR="008B3639" w:rsidRPr="0012299A">
        <w:rPr>
          <w:szCs w:val="24"/>
        </w:rPr>
        <w:t xml:space="preserve">files.  These computer resources are vital to the </w:t>
      </w:r>
      <w:r w:rsidR="00272961">
        <w:rPr>
          <w:szCs w:val="24"/>
        </w:rPr>
        <w:t>Organization</w:t>
      </w:r>
      <w:r w:rsidR="008B3639" w:rsidRPr="0012299A">
        <w:rPr>
          <w:szCs w:val="24"/>
        </w:rPr>
        <w:t xml:space="preserve"> and must be protected against accidental or intentional modification or destruction.  All individuals are responsible for following established </w:t>
      </w:r>
      <w:r w:rsidR="00272961">
        <w:rPr>
          <w:szCs w:val="24"/>
        </w:rPr>
        <w:t>Organization</w:t>
      </w:r>
      <w:r w:rsidR="008B3639" w:rsidRPr="0012299A">
        <w:rPr>
          <w:szCs w:val="24"/>
        </w:rPr>
        <w:t xml:space="preserve"> policies and procedures, including any aspect of confidentiality, regarding computers and data assets. </w:t>
      </w:r>
      <w:r w:rsidR="00430BA6" w:rsidRPr="0012299A">
        <w:rPr>
          <w:szCs w:val="24"/>
        </w:rPr>
        <w:t xml:space="preserve"> </w:t>
      </w:r>
      <w:r w:rsidR="00F623BE" w:rsidRPr="00F623BE">
        <w:rPr>
          <w:szCs w:val="24"/>
        </w:rPr>
        <w:t>By signing this Code of Ethics, the individual hereby agree</w:t>
      </w:r>
      <w:r w:rsidR="005A59BC">
        <w:rPr>
          <w:szCs w:val="24"/>
        </w:rPr>
        <w:t>s</w:t>
      </w:r>
      <w:r w:rsidR="00F623BE" w:rsidRPr="00F623BE">
        <w:rPr>
          <w:szCs w:val="24"/>
        </w:rPr>
        <w:t xml:space="preserve"> to the entirety of the</w:t>
      </w:r>
      <w:r w:rsidR="00691871">
        <w:rPr>
          <w:szCs w:val="24"/>
        </w:rPr>
        <w:t xml:space="preserve"> current version of the</w:t>
      </w:r>
      <w:r w:rsidR="00F623BE" w:rsidRPr="00F623BE">
        <w:rPr>
          <w:szCs w:val="24"/>
        </w:rPr>
        <w:t xml:space="preserve"> </w:t>
      </w:r>
      <w:r w:rsidR="00494284">
        <w:rPr>
          <w:i/>
          <w:szCs w:val="24"/>
        </w:rPr>
        <w:t>NAIC/</w:t>
      </w:r>
      <w:r w:rsidR="002B56E9">
        <w:rPr>
          <w:i/>
          <w:szCs w:val="24"/>
        </w:rPr>
        <w:t>BetterInvesting Technology</w:t>
      </w:r>
      <w:r w:rsidR="002B56E9" w:rsidRPr="00452739">
        <w:rPr>
          <w:i/>
          <w:szCs w:val="24"/>
        </w:rPr>
        <w:t xml:space="preserve"> P</w:t>
      </w:r>
      <w:r w:rsidR="002B56E9">
        <w:rPr>
          <w:i/>
          <w:szCs w:val="24"/>
        </w:rPr>
        <w:t xml:space="preserve">olicy; </w:t>
      </w:r>
      <w:r w:rsidR="00691871">
        <w:rPr>
          <w:i/>
          <w:szCs w:val="24"/>
        </w:rPr>
        <w:t xml:space="preserve">originally </w:t>
      </w:r>
      <w:r w:rsidR="002B56E9">
        <w:rPr>
          <w:i/>
          <w:szCs w:val="24"/>
        </w:rPr>
        <w:t>approved June 2021</w:t>
      </w:r>
      <w:r w:rsidR="008A3538">
        <w:rPr>
          <w:i/>
          <w:szCs w:val="24"/>
        </w:rPr>
        <w:t xml:space="preserve">, updated </w:t>
      </w:r>
      <w:r w:rsidR="00023865">
        <w:rPr>
          <w:i/>
          <w:szCs w:val="24"/>
        </w:rPr>
        <w:t>February 2023</w:t>
      </w:r>
      <w:r w:rsidR="00F623BE">
        <w:rPr>
          <w:i/>
          <w:szCs w:val="24"/>
        </w:rPr>
        <w:t>.</w:t>
      </w:r>
    </w:p>
    <w:p w14:paraId="2E1D4063" w14:textId="77777777" w:rsidR="00582A55" w:rsidRPr="0012299A" w:rsidRDefault="00582A55" w:rsidP="00B14AB4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Cs w:val="24"/>
        </w:rPr>
      </w:pPr>
      <w:r w:rsidRPr="0012299A">
        <w:rPr>
          <w:rFonts w:ascii="Times New Roman" w:eastAsia="Times New Roman" w:hAnsi="Times New Roman"/>
          <w:color w:val="000000"/>
          <w:szCs w:val="24"/>
        </w:rPr>
        <w:t xml:space="preserve">In general, the use of good judgment, based on high ethical principles, </w:t>
      </w:r>
      <w:r w:rsidR="008B3639" w:rsidRPr="0012299A">
        <w:rPr>
          <w:rFonts w:ascii="Times New Roman" w:eastAsia="Times New Roman" w:hAnsi="Times New Roman"/>
          <w:color w:val="000000"/>
          <w:szCs w:val="24"/>
        </w:rPr>
        <w:t xml:space="preserve">will </w:t>
      </w:r>
      <w:r w:rsidRPr="0012299A">
        <w:rPr>
          <w:rFonts w:ascii="Times New Roman" w:eastAsia="Times New Roman" w:hAnsi="Times New Roman"/>
          <w:color w:val="000000"/>
          <w:szCs w:val="24"/>
        </w:rPr>
        <w:t xml:space="preserve">be the guide </w:t>
      </w:r>
      <w:r w:rsidR="002A186F" w:rsidRPr="0012299A">
        <w:rPr>
          <w:rFonts w:ascii="Times New Roman" w:eastAsia="Times New Roman" w:hAnsi="Times New Roman"/>
          <w:color w:val="000000"/>
          <w:szCs w:val="24"/>
        </w:rPr>
        <w:t xml:space="preserve">to </w:t>
      </w:r>
      <w:r w:rsidR="00B6068D" w:rsidRPr="0012299A">
        <w:rPr>
          <w:rFonts w:ascii="Times New Roman" w:eastAsia="Times New Roman" w:hAnsi="Times New Roman"/>
          <w:color w:val="000000"/>
          <w:szCs w:val="24"/>
        </w:rPr>
        <w:t xml:space="preserve">standards </w:t>
      </w:r>
      <w:r w:rsidRPr="0012299A">
        <w:rPr>
          <w:rFonts w:ascii="Times New Roman" w:eastAsia="Times New Roman" w:hAnsi="Times New Roman"/>
          <w:color w:val="000000"/>
          <w:szCs w:val="24"/>
        </w:rPr>
        <w:t xml:space="preserve">of acceptable conduct. </w:t>
      </w:r>
      <w:r w:rsidR="00791F81" w:rsidRPr="0012299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12299A">
        <w:rPr>
          <w:rFonts w:ascii="Times New Roman" w:eastAsia="Times New Roman" w:hAnsi="Times New Roman"/>
          <w:color w:val="000000"/>
          <w:szCs w:val="24"/>
        </w:rPr>
        <w:t xml:space="preserve">If a situation arises where it is difficult to determine the proper course of action, the matter must be disclosed to </w:t>
      </w:r>
      <w:r w:rsidR="00791F81" w:rsidRPr="0012299A">
        <w:rPr>
          <w:rFonts w:ascii="Times New Roman" w:eastAsia="Times New Roman" w:hAnsi="Times New Roman"/>
          <w:color w:val="000000"/>
          <w:szCs w:val="24"/>
        </w:rPr>
        <w:t xml:space="preserve">the </w:t>
      </w:r>
      <w:r w:rsidR="00E73835">
        <w:rPr>
          <w:rFonts w:ascii="Times New Roman" w:eastAsia="Times New Roman" w:hAnsi="Times New Roman"/>
          <w:color w:val="000000"/>
          <w:szCs w:val="24"/>
        </w:rPr>
        <w:t>CEO</w:t>
      </w:r>
      <w:r w:rsidR="006F2FDF">
        <w:rPr>
          <w:rFonts w:ascii="Times New Roman" w:eastAsia="Times New Roman" w:hAnsi="Times New Roman"/>
          <w:color w:val="000000"/>
          <w:szCs w:val="24"/>
        </w:rPr>
        <w:t xml:space="preserve">, </w:t>
      </w:r>
      <w:r w:rsidR="00E354E4">
        <w:rPr>
          <w:szCs w:val="24"/>
        </w:rPr>
        <w:t>Director of Shared Services or</w:t>
      </w:r>
      <w:r w:rsidR="00CE0664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8B3639" w:rsidRPr="0012299A">
        <w:rPr>
          <w:rFonts w:ascii="Times New Roman" w:eastAsia="Times New Roman" w:hAnsi="Times New Roman"/>
          <w:color w:val="000000"/>
          <w:szCs w:val="24"/>
        </w:rPr>
        <w:t>the Chair of the Finance and Audit Committee.</w:t>
      </w:r>
      <w:r w:rsidR="00F56DD7" w:rsidRPr="0012299A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14:paraId="333BDC06" w14:textId="77777777" w:rsidR="00791F81" w:rsidRPr="0012299A" w:rsidRDefault="00791F81" w:rsidP="00C25A1F">
      <w:pPr>
        <w:numPr>
          <w:ilvl w:val="0"/>
          <w:numId w:val="32"/>
        </w:numPr>
        <w:tabs>
          <w:tab w:val="clear" w:pos="2880"/>
          <w:tab w:val="num" w:pos="360"/>
        </w:tabs>
        <w:ind w:left="360"/>
        <w:jc w:val="both"/>
        <w:rPr>
          <w:szCs w:val="24"/>
        </w:rPr>
      </w:pPr>
      <w:r w:rsidRPr="0012299A">
        <w:rPr>
          <w:szCs w:val="24"/>
        </w:rPr>
        <w:t>COMPLIANCE</w:t>
      </w:r>
    </w:p>
    <w:p w14:paraId="1A74A5A7" w14:textId="77777777" w:rsidR="00791F81" w:rsidRPr="0012299A" w:rsidRDefault="00791F81" w:rsidP="00791F81">
      <w:pPr>
        <w:jc w:val="both"/>
        <w:rPr>
          <w:szCs w:val="24"/>
        </w:rPr>
      </w:pPr>
    </w:p>
    <w:p w14:paraId="0803B87C" w14:textId="77777777" w:rsidR="003926BD" w:rsidRPr="0012299A" w:rsidRDefault="00791F81" w:rsidP="00C61CF3">
      <w:pPr>
        <w:jc w:val="both"/>
        <w:rPr>
          <w:szCs w:val="24"/>
        </w:rPr>
      </w:pPr>
      <w:r w:rsidRPr="0012299A">
        <w:rPr>
          <w:szCs w:val="24"/>
        </w:rPr>
        <w:t>V</w:t>
      </w:r>
      <w:r w:rsidR="002A186F" w:rsidRPr="0012299A">
        <w:rPr>
          <w:szCs w:val="24"/>
        </w:rPr>
        <w:t>iolation</w:t>
      </w:r>
      <w:r w:rsidRPr="0012299A">
        <w:rPr>
          <w:szCs w:val="24"/>
        </w:rPr>
        <w:t>s</w:t>
      </w:r>
      <w:r w:rsidR="002A186F" w:rsidRPr="0012299A">
        <w:rPr>
          <w:szCs w:val="24"/>
        </w:rPr>
        <w:t xml:space="preserve"> of th</w:t>
      </w:r>
      <w:r w:rsidR="00AB46C5">
        <w:rPr>
          <w:szCs w:val="24"/>
        </w:rPr>
        <w:t xml:space="preserve">e Code </w:t>
      </w:r>
      <w:r w:rsidR="00430BA6" w:rsidRPr="0012299A">
        <w:rPr>
          <w:szCs w:val="24"/>
        </w:rPr>
        <w:t xml:space="preserve">may subject the individual </w:t>
      </w:r>
      <w:r w:rsidR="002A186F" w:rsidRPr="0012299A">
        <w:rPr>
          <w:szCs w:val="24"/>
        </w:rPr>
        <w:t xml:space="preserve">to </w:t>
      </w:r>
      <w:r w:rsidR="00430BA6" w:rsidRPr="0012299A">
        <w:rPr>
          <w:rFonts w:eastAsia="Times New Roman"/>
          <w:szCs w:val="24"/>
        </w:rPr>
        <w:t>discipline, including termination of employment</w:t>
      </w:r>
      <w:r w:rsidRPr="0012299A">
        <w:rPr>
          <w:rFonts w:eastAsia="Times New Roman"/>
          <w:szCs w:val="24"/>
        </w:rPr>
        <w:t xml:space="preserve">, </w:t>
      </w:r>
      <w:r w:rsidR="00430BA6" w:rsidRPr="0012299A">
        <w:rPr>
          <w:rFonts w:eastAsia="Times New Roman"/>
          <w:szCs w:val="24"/>
        </w:rPr>
        <w:t>service</w:t>
      </w:r>
      <w:r w:rsidRPr="0012299A">
        <w:rPr>
          <w:rFonts w:eastAsia="Times New Roman"/>
          <w:szCs w:val="24"/>
        </w:rPr>
        <w:t xml:space="preserve">, or contract.  Any </w:t>
      </w:r>
      <w:r w:rsidR="00430BA6" w:rsidRPr="0012299A">
        <w:rPr>
          <w:szCs w:val="24"/>
        </w:rPr>
        <w:t xml:space="preserve">individual </w:t>
      </w:r>
      <w:r w:rsidR="002A186F" w:rsidRPr="0012299A">
        <w:rPr>
          <w:szCs w:val="24"/>
        </w:rPr>
        <w:t xml:space="preserve">having knowledge of any violation of the </w:t>
      </w:r>
      <w:r w:rsidR="00D44D72">
        <w:rPr>
          <w:szCs w:val="24"/>
        </w:rPr>
        <w:t xml:space="preserve">Code </w:t>
      </w:r>
      <w:r w:rsidRPr="0012299A">
        <w:rPr>
          <w:szCs w:val="24"/>
        </w:rPr>
        <w:t xml:space="preserve">must </w:t>
      </w:r>
      <w:r w:rsidR="002A186F" w:rsidRPr="0012299A">
        <w:rPr>
          <w:szCs w:val="24"/>
        </w:rPr>
        <w:t>promptly report such violation to</w:t>
      </w:r>
      <w:r w:rsidR="00D72AF3" w:rsidRPr="0012299A">
        <w:rPr>
          <w:szCs w:val="24"/>
        </w:rPr>
        <w:t xml:space="preserve"> any of the following</w:t>
      </w:r>
      <w:r w:rsidR="003926BD" w:rsidRPr="0012299A">
        <w:rPr>
          <w:szCs w:val="24"/>
        </w:rPr>
        <w:t>:</w:t>
      </w:r>
    </w:p>
    <w:p w14:paraId="11C92519" w14:textId="77777777" w:rsidR="003926BD" w:rsidRPr="0012299A" w:rsidRDefault="003926BD" w:rsidP="00C61CF3">
      <w:pPr>
        <w:jc w:val="both"/>
        <w:rPr>
          <w:szCs w:val="24"/>
        </w:rPr>
      </w:pPr>
    </w:p>
    <w:p w14:paraId="6CA0DE76" w14:textId="77777777" w:rsidR="00A7413E" w:rsidRPr="0012299A" w:rsidRDefault="005B38F4" w:rsidP="00FD686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Ken Zendel</w:t>
      </w:r>
      <w:r w:rsidR="00A7413E" w:rsidRPr="0012299A">
        <w:rPr>
          <w:szCs w:val="24"/>
        </w:rPr>
        <w:t xml:space="preserve">, </w:t>
      </w:r>
      <w:r w:rsidR="00E73835">
        <w:rPr>
          <w:szCs w:val="24"/>
        </w:rPr>
        <w:t>CEO</w:t>
      </w:r>
    </w:p>
    <w:p w14:paraId="72833F6A" w14:textId="15CADAEA" w:rsidR="006C68C5" w:rsidRDefault="006C68C5" w:rsidP="006C68C5">
      <w:pPr>
        <w:ind w:firstLine="720"/>
        <w:jc w:val="both"/>
        <w:rPr>
          <w:szCs w:val="24"/>
        </w:rPr>
      </w:pPr>
      <w:r>
        <w:rPr>
          <w:szCs w:val="24"/>
        </w:rPr>
        <w:t xml:space="preserve">Phone: </w:t>
      </w:r>
      <w:r w:rsidR="00A7413E" w:rsidRPr="0012299A">
        <w:rPr>
          <w:szCs w:val="24"/>
        </w:rPr>
        <w:t xml:space="preserve">(248) </w:t>
      </w:r>
      <w:r>
        <w:rPr>
          <w:szCs w:val="24"/>
        </w:rPr>
        <w:t>654-305</w:t>
      </w:r>
      <w:r w:rsidR="005B38F4">
        <w:rPr>
          <w:szCs w:val="24"/>
        </w:rPr>
        <w:t>3</w:t>
      </w:r>
      <w:r w:rsidR="00A7413E" w:rsidRPr="0012299A">
        <w:rPr>
          <w:szCs w:val="24"/>
        </w:rPr>
        <w:t xml:space="preserve">, Email:  </w:t>
      </w:r>
      <w:hyperlink r:id="rId12" w:history="1">
        <w:r w:rsidR="005B38F4" w:rsidRPr="005B38F4">
          <w:rPr>
            <w:rStyle w:val="Hyperlink"/>
            <w:szCs w:val="24"/>
          </w:rPr>
          <w:t>kzendel@betterinvesting.org</w:t>
        </w:r>
      </w:hyperlink>
    </w:p>
    <w:p w14:paraId="3024AABD" w14:textId="77777777" w:rsidR="006C68C5" w:rsidRDefault="006C68C5" w:rsidP="006C68C5">
      <w:pPr>
        <w:numPr>
          <w:ilvl w:val="0"/>
          <w:numId w:val="35"/>
        </w:numPr>
        <w:tabs>
          <w:tab w:val="clear" w:pos="1440"/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 xml:space="preserve">Cliff Trent, </w:t>
      </w:r>
      <w:r w:rsidR="00E354E4">
        <w:rPr>
          <w:szCs w:val="24"/>
        </w:rPr>
        <w:t>Director of Shared Services</w:t>
      </w:r>
    </w:p>
    <w:p w14:paraId="09B6D76D" w14:textId="77777777" w:rsidR="006C68C5" w:rsidRPr="0012299A" w:rsidRDefault="006C68C5" w:rsidP="006C68C5">
      <w:pPr>
        <w:ind w:left="720"/>
        <w:jc w:val="both"/>
        <w:rPr>
          <w:szCs w:val="24"/>
        </w:rPr>
      </w:pPr>
      <w:r>
        <w:rPr>
          <w:szCs w:val="24"/>
        </w:rPr>
        <w:t xml:space="preserve">Phone: (248) 654-3035, Email: </w:t>
      </w:r>
      <w:hyperlink r:id="rId13" w:history="1">
        <w:r w:rsidR="00DF1266">
          <w:rPr>
            <w:rStyle w:val="Hyperlink"/>
            <w:szCs w:val="24"/>
          </w:rPr>
          <w:t>clifft@betterinvesting.org</w:t>
        </w:r>
      </w:hyperlink>
    </w:p>
    <w:p w14:paraId="46731E01" w14:textId="3D95CAA2" w:rsidR="006C68C5" w:rsidRDefault="006C68C5" w:rsidP="006C68C5">
      <w:pPr>
        <w:jc w:val="both"/>
        <w:rPr>
          <w:rFonts w:eastAsia="Times New Roman"/>
          <w:szCs w:val="24"/>
        </w:rPr>
      </w:pPr>
    </w:p>
    <w:p w14:paraId="368B78E0" w14:textId="481DA329" w:rsidR="00490C4E" w:rsidRDefault="00490C4E" w:rsidP="006C68C5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If any potential situation may involve the CEO, then this </w:t>
      </w:r>
      <w:r w:rsidR="00D80B6E">
        <w:rPr>
          <w:szCs w:val="24"/>
        </w:rPr>
        <w:t>report</w:t>
      </w:r>
      <w:r>
        <w:rPr>
          <w:szCs w:val="24"/>
        </w:rPr>
        <w:t xml:space="preserve"> should be sent to the Chair of the Finance &amp; Audit Committee.</w:t>
      </w:r>
    </w:p>
    <w:p w14:paraId="31E1A72C" w14:textId="77777777" w:rsidR="00490C4E" w:rsidRPr="0012299A" w:rsidRDefault="00490C4E" w:rsidP="006C68C5">
      <w:pPr>
        <w:jc w:val="both"/>
        <w:rPr>
          <w:rFonts w:eastAsia="Times New Roman"/>
          <w:szCs w:val="24"/>
        </w:rPr>
      </w:pPr>
    </w:p>
    <w:p w14:paraId="4952E90D" w14:textId="77777777" w:rsidR="00791F81" w:rsidRPr="0012299A" w:rsidRDefault="00791F81" w:rsidP="002A0D47">
      <w:pPr>
        <w:numPr>
          <w:ilvl w:val="0"/>
          <w:numId w:val="32"/>
        </w:numPr>
        <w:tabs>
          <w:tab w:val="clear" w:pos="2880"/>
          <w:tab w:val="num" w:pos="360"/>
        </w:tabs>
        <w:ind w:left="360"/>
        <w:jc w:val="both"/>
        <w:rPr>
          <w:szCs w:val="24"/>
        </w:rPr>
      </w:pPr>
      <w:r w:rsidRPr="0012299A">
        <w:rPr>
          <w:szCs w:val="24"/>
        </w:rPr>
        <w:t>QUESTIONS</w:t>
      </w:r>
    </w:p>
    <w:p w14:paraId="0CC365A7" w14:textId="77777777" w:rsidR="00791F81" w:rsidRPr="0012299A" w:rsidRDefault="00791F81" w:rsidP="00791F81">
      <w:pPr>
        <w:jc w:val="both"/>
        <w:rPr>
          <w:szCs w:val="24"/>
        </w:rPr>
      </w:pPr>
    </w:p>
    <w:p w14:paraId="3F1F678C" w14:textId="77777777" w:rsidR="006E27BA" w:rsidRPr="0012299A" w:rsidRDefault="00791F81" w:rsidP="00FD6867">
      <w:pPr>
        <w:jc w:val="both"/>
        <w:rPr>
          <w:szCs w:val="24"/>
        </w:rPr>
      </w:pPr>
      <w:r w:rsidRPr="0012299A">
        <w:rPr>
          <w:szCs w:val="24"/>
        </w:rPr>
        <w:t xml:space="preserve">For questions </w:t>
      </w:r>
      <w:r w:rsidR="006D1E65" w:rsidRPr="0012299A">
        <w:rPr>
          <w:szCs w:val="24"/>
        </w:rPr>
        <w:t xml:space="preserve">concerning </w:t>
      </w:r>
      <w:r w:rsidRPr="0012299A">
        <w:rPr>
          <w:szCs w:val="24"/>
        </w:rPr>
        <w:t xml:space="preserve">any aspect of this </w:t>
      </w:r>
      <w:r w:rsidR="00430BA6" w:rsidRPr="0012299A">
        <w:rPr>
          <w:szCs w:val="24"/>
        </w:rPr>
        <w:t>p</w:t>
      </w:r>
      <w:r w:rsidR="006D1E65" w:rsidRPr="0012299A">
        <w:rPr>
          <w:szCs w:val="24"/>
        </w:rPr>
        <w:t xml:space="preserve">olicy contact </w:t>
      </w:r>
      <w:r w:rsidR="00E354E4">
        <w:rPr>
          <w:szCs w:val="24"/>
        </w:rPr>
        <w:t>the Director of Shared Services</w:t>
      </w:r>
      <w:r w:rsidR="00A82836" w:rsidRPr="0012299A">
        <w:rPr>
          <w:szCs w:val="24"/>
        </w:rPr>
        <w:t>.</w:t>
      </w:r>
      <w:r w:rsidR="006E27BA" w:rsidRPr="0012299A">
        <w:rPr>
          <w:szCs w:val="24"/>
        </w:rPr>
        <w:t xml:space="preserve"> </w:t>
      </w:r>
    </w:p>
    <w:p w14:paraId="32D44252" w14:textId="77777777" w:rsidR="00132F55" w:rsidRDefault="00132F55" w:rsidP="00C61CF3">
      <w:pPr>
        <w:jc w:val="both"/>
        <w:rPr>
          <w:szCs w:val="24"/>
        </w:rPr>
      </w:pPr>
    </w:p>
    <w:p w14:paraId="1401232D" w14:textId="77777777" w:rsidR="00BB2D4D" w:rsidRDefault="00BB2D4D" w:rsidP="00C61CF3">
      <w:pPr>
        <w:jc w:val="both"/>
        <w:rPr>
          <w:szCs w:val="24"/>
        </w:rPr>
      </w:pPr>
    </w:p>
    <w:p w14:paraId="0AAF3198" w14:textId="77777777" w:rsidR="00BB2D4D" w:rsidRDefault="00BB2D4D" w:rsidP="00C61CF3">
      <w:pPr>
        <w:jc w:val="both"/>
        <w:rPr>
          <w:szCs w:val="24"/>
        </w:rPr>
      </w:pPr>
    </w:p>
    <w:p w14:paraId="7E0E4931" w14:textId="77777777" w:rsidR="00BB2D4D" w:rsidRDefault="00BB2D4D" w:rsidP="00C61CF3">
      <w:pPr>
        <w:jc w:val="both"/>
        <w:rPr>
          <w:szCs w:val="24"/>
        </w:rPr>
      </w:pPr>
    </w:p>
    <w:p w14:paraId="051AC6C1" w14:textId="77777777" w:rsidR="00BB2D4D" w:rsidRDefault="00BB2D4D" w:rsidP="00C61CF3">
      <w:pPr>
        <w:jc w:val="both"/>
        <w:rPr>
          <w:szCs w:val="24"/>
        </w:rPr>
      </w:pPr>
    </w:p>
    <w:p w14:paraId="34602E3D" w14:textId="77777777" w:rsidR="00176F07" w:rsidRDefault="00176F07" w:rsidP="00C61CF3">
      <w:pPr>
        <w:jc w:val="both"/>
        <w:rPr>
          <w:szCs w:val="24"/>
        </w:rPr>
      </w:pPr>
    </w:p>
    <w:p w14:paraId="68DAA5B0" w14:textId="77777777" w:rsidR="00176F07" w:rsidRDefault="00176F07" w:rsidP="00C61CF3">
      <w:pPr>
        <w:jc w:val="both"/>
        <w:rPr>
          <w:szCs w:val="24"/>
        </w:rPr>
      </w:pPr>
    </w:p>
    <w:p w14:paraId="27132E60" w14:textId="77777777" w:rsidR="00176F07" w:rsidRDefault="00176F07" w:rsidP="00C61CF3">
      <w:pPr>
        <w:jc w:val="both"/>
        <w:rPr>
          <w:szCs w:val="24"/>
        </w:rPr>
      </w:pPr>
    </w:p>
    <w:p w14:paraId="25E6DFC2" w14:textId="77777777" w:rsidR="00176F07" w:rsidRDefault="00176F07" w:rsidP="00C61CF3">
      <w:pPr>
        <w:jc w:val="both"/>
        <w:rPr>
          <w:szCs w:val="24"/>
        </w:rPr>
      </w:pPr>
    </w:p>
    <w:p w14:paraId="2522E8E0" w14:textId="77777777" w:rsidR="00176F07" w:rsidRDefault="00176F07" w:rsidP="00C61CF3">
      <w:pPr>
        <w:jc w:val="both"/>
        <w:rPr>
          <w:szCs w:val="24"/>
        </w:rPr>
      </w:pPr>
    </w:p>
    <w:p w14:paraId="474C9338" w14:textId="77777777" w:rsidR="00BB2D4D" w:rsidRDefault="00C60F2A" w:rsidP="00A351B9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22"/>
          <w:szCs w:val="22"/>
        </w:rPr>
        <w:sectPr w:rsidR="00BB2D4D" w:rsidSect="00EB54B8">
          <w:footerReference w:type="default" r:id="rId14"/>
          <w:pgSz w:w="12240" w:h="15840" w:code="1"/>
          <w:pgMar w:top="1440" w:right="1800" w:bottom="1296" w:left="1800" w:header="720" w:footer="576" w:gutter="0"/>
          <w:cols w:space="720"/>
          <w:docGrid w:linePitch="360"/>
        </w:sectPr>
      </w:pPr>
      <w:r w:rsidRPr="00D44D72">
        <w:rPr>
          <w:rFonts w:ascii="Times New Roman" w:eastAsia="Times New Roman" w:hAnsi="Times New Roman"/>
          <w:i/>
          <w:iCs/>
          <w:sz w:val="22"/>
          <w:szCs w:val="22"/>
        </w:rPr>
        <w:t>NAIC</w:t>
      </w:r>
      <w:r w:rsidR="00D44D72" w:rsidRPr="00D44D72">
        <w:rPr>
          <w:rFonts w:ascii="Times New Roman" w:eastAsia="Times New Roman" w:hAnsi="Times New Roman"/>
          <w:i/>
          <w:iCs/>
          <w:sz w:val="22"/>
          <w:szCs w:val="22"/>
        </w:rPr>
        <w:t xml:space="preserve"> BetterInvesting </w:t>
      </w:r>
      <w:r w:rsidR="00B6068D" w:rsidRPr="00D44D72">
        <w:rPr>
          <w:rFonts w:ascii="Times New Roman" w:eastAsia="Times New Roman" w:hAnsi="Times New Roman"/>
          <w:i/>
          <w:iCs/>
          <w:sz w:val="22"/>
          <w:szCs w:val="22"/>
        </w:rPr>
        <w:t xml:space="preserve">reserves the right to modify or amend this </w:t>
      </w:r>
      <w:r w:rsidRPr="00D44D72">
        <w:rPr>
          <w:rFonts w:ascii="Times New Roman" w:eastAsia="Times New Roman" w:hAnsi="Times New Roman"/>
          <w:i/>
          <w:iCs/>
          <w:sz w:val="22"/>
          <w:szCs w:val="22"/>
        </w:rPr>
        <w:t>policy at</w:t>
      </w:r>
      <w:r w:rsidR="00B6068D" w:rsidRPr="00D44D72">
        <w:rPr>
          <w:rFonts w:ascii="Times New Roman" w:eastAsia="Times New Roman" w:hAnsi="Times New Roman"/>
          <w:i/>
          <w:iCs/>
          <w:sz w:val="22"/>
          <w:szCs w:val="22"/>
        </w:rPr>
        <w:t xml:space="preserve"> any time as it may deem </w:t>
      </w:r>
      <w:r w:rsidR="00BB2D4D">
        <w:rPr>
          <w:rFonts w:ascii="Times New Roman" w:eastAsia="Times New Roman" w:hAnsi="Times New Roman"/>
          <w:i/>
          <w:iCs/>
          <w:sz w:val="22"/>
          <w:szCs w:val="22"/>
        </w:rPr>
        <w:t>necessary.</w:t>
      </w:r>
    </w:p>
    <w:p w14:paraId="5FB8ADDF" w14:textId="60DCA2D9" w:rsidR="00151C26" w:rsidRDefault="00B14AB4" w:rsidP="00A351B9">
      <w:pPr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 wp14:anchorId="42B53113" wp14:editId="4E229972">
            <wp:extent cx="4114800" cy="899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tterInvesting-Primary-Logo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9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3EBE" w14:textId="77777777" w:rsidR="00C95338" w:rsidRDefault="00C95338" w:rsidP="00A351B9">
      <w:pPr>
        <w:shd w:val="clear" w:color="auto" w:fill="FFFFFF"/>
        <w:jc w:val="center"/>
      </w:pPr>
    </w:p>
    <w:p w14:paraId="70BAED17" w14:textId="77777777" w:rsidR="00151C26" w:rsidRDefault="00151C26" w:rsidP="00151C26">
      <w:pPr>
        <w:jc w:val="center"/>
      </w:pPr>
    </w:p>
    <w:p w14:paraId="4E26850A" w14:textId="0B60512D" w:rsidR="00B77566" w:rsidRDefault="00272961" w:rsidP="00B77566">
      <w:pPr>
        <w:jc w:val="center"/>
        <w:rPr>
          <w:b/>
        </w:rPr>
      </w:pPr>
      <w:r>
        <w:rPr>
          <w:b/>
        </w:rPr>
        <w:t>ORGANIZATION</w:t>
      </w:r>
      <w:r w:rsidR="00C21CC7">
        <w:rPr>
          <w:b/>
        </w:rPr>
        <w:t xml:space="preserve"> </w:t>
      </w:r>
      <w:r w:rsidR="00B77566">
        <w:rPr>
          <w:b/>
        </w:rPr>
        <w:t>CODE OF ETHICS</w:t>
      </w:r>
    </w:p>
    <w:p w14:paraId="36CAA9E0" w14:textId="77777777" w:rsidR="00151C26" w:rsidRDefault="00151C26" w:rsidP="00151C26">
      <w:pPr>
        <w:jc w:val="center"/>
        <w:rPr>
          <w:b/>
        </w:rPr>
      </w:pPr>
      <w:r w:rsidRPr="00797A70">
        <w:rPr>
          <w:b/>
        </w:rPr>
        <w:t>CERTIFICATE OF UNDERSTANDING AND COMPLIANCE</w:t>
      </w:r>
    </w:p>
    <w:p w14:paraId="17E3B6AB" w14:textId="77777777" w:rsidR="00151C26" w:rsidRDefault="00151C26" w:rsidP="00151C26">
      <w:pPr>
        <w:jc w:val="center"/>
        <w:rPr>
          <w:b/>
        </w:rPr>
      </w:pPr>
    </w:p>
    <w:p w14:paraId="15E36BC1" w14:textId="37932944" w:rsidR="00151C26" w:rsidRDefault="002A0D47" w:rsidP="00151C26">
      <w:pPr>
        <w:jc w:val="both"/>
      </w:pPr>
      <w:r>
        <w:rPr>
          <w:rFonts w:ascii="Times New Roman" w:hAnsi="Times New Roman"/>
          <w:szCs w:val="24"/>
        </w:rPr>
        <w:t>A</w:t>
      </w:r>
      <w:r w:rsidRPr="00841FD2">
        <w:rPr>
          <w:rFonts w:ascii="Times New Roman" w:hAnsi="Times New Roman"/>
          <w:szCs w:val="24"/>
        </w:rPr>
        <w:t xml:space="preserve">ll </w:t>
      </w:r>
      <w:r w:rsidR="00153400">
        <w:rPr>
          <w:rFonts w:ascii="Times New Roman" w:hAnsi="Times New Roman"/>
          <w:szCs w:val="24"/>
        </w:rPr>
        <w:t xml:space="preserve">officers, </w:t>
      </w:r>
      <w:r w:rsidR="00FA3AAC">
        <w:rPr>
          <w:rFonts w:ascii="Times New Roman" w:hAnsi="Times New Roman"/>
          <w:szCs w:val="24"/>
        </w:rPr>
        <w:t>directors</w:t>
      </w:r>
      <w:r w:rsidR="00153400">
        <w:rPr>
          <w:rFonts w:ascii="Times New Roman" w:hAnsi="Times New Roman"/>
          <w:szCs w:val="24"/>
        </w:rPr>
        <w:t xml:space="preserve">, </w:t>
      </w:r>
      <w:r w:rsidRPr="00841FD2">
        <w:rPr>
          <w:rFonts w:ascii="Times New Roman" w:hAnsi="Times New Roman"/>
          <w:szCs w:val="24"/>
        </w:rPr>
        <w:t xml:space="preserve">employees including </w:t>
      </w:r>
      <w:r>
        <w:rPr>
          <w:rFonts w:ascii="Times New Roman" w:hAnsi="Times New Roman"/>
          <w:szCs w:val="24"/>
        </w:rPr>
        <w:t xml:space="preserve">full-time, </w:t>
      </w:r>
      <w:r w:rsidRPr="00841FD2">
        <w:rPr>
          <w:rFonts w:ascii="Times New Roman" w:hAnsi="Times New Roman"/>
          <w:szCs w:val="24"/>
        </w:rPr>
        <w:t>part-time</w:t>
      </w:r>
      <w:r>
        <w:rPr>
          <w:rFonts w:ascii="Times New Roman" w:hAnsi="Times New Roman"/>
          <w:szCs w:val="24"/>
        </w:rPr>
        <w:t xml:space="preserve"> and </w:t>
      </w:r>
      <w:r w:rsidRPr="00841FD2">
        <w:rPr>
          <w:rFonts w:ascii="Times New Roman" w:hAnsi="Times New Roman"/>
          <w:szCs w:val="24"/>
        </w:rPr>
        <w:t>temporary</w:t>
      </w:r>
      <w:r>
        <w:rPr>
          <w:rFonts w:ascii="Times New Roman" w:hAnsi="Times New Roman"/>
          <w:szCs w:val="24"/>
        </w:rPr>
        <w:t xml:space="preserve">, </w:t>
      </w:r>
      <w:r w:rsidR="00153400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 xml:space="preserve">contract staff (the “individuals”) </w:t>
      </w:r>
      <w:r w:rsidRPr="00841FD2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 xml:space="preserve">the </w:t>
      </w:r>
      <w:r w:rsidR="00C95338">
        <w:rPr>
          <w:rFonts w:ascii="Times New Roman" w:hAnsi="Times New Roman"/>
          <w:szCs w:val="24"/>
        </w:rPr>
        <w:t>National Association of Investors Corporation</w:t>
      </w:r>
      <w:r w:rsidR="00C60F2A">
        <w:rPr>
          <w:rFonts w:ascii="Times New Roman" w:hAnsi="Times New Roman"/>
          <w:szCs w:val="24"/>
        </w:rPr>
        <w:t xml:space="preserve"> </w:t>
      </w:r>
      <w:r w:rsidR="00B14AB4">
        <w:rPr>
          <w:rFonts w:ascii="Times New Roman" w:hAnsi="Times New Roman"/>
          <w:szCs w:val="24"/>
        </w:rPr>
        <w:t xml:space="preserve">dba </w:t>
      </w:r>
      <w:r w:rsidR="00C95338">
        <w:rPr>
          <w:rFonts w:ascii="Times New Roman" w:hAnsi="Times New Roman"/>
          <w:szCs w:val="24"/>
        </w:rPr>
        <w:t xml:space="preserve">BetterInvesting </w:t>
      </w:r>
      <w:r w:rsidRPr="00841FD2">
        <w:rPr>
          <w:rFonts w:ascii="Times New Roman" w:hAnsi="Times New Roman"/>
          <w:szCs w:val="24"/>
        </w:rPr>
        <w:t>(the “</w:t>
      </w:r>
      <w:r w:rsidR="00272961">
        <w:rPr>
          <w:rFonts w:ascii="Times New Roman" w:hAnsi="Times New Roman"/>
          <w:szCs w:val="24"/>
        </w:rPr>
        <w:t>Organization</w:t>
      </w:r>
      <w:r w:rsidRPr="00841FD2">
        <w:rPr>
          <w:rFonts w:ascii="Times New Roman" w:hAnsi="Times New Roman"/>
          <w:szCs w:val="24"/>
        </w:rPr>
        <w:t>”)</w:t>
      </w:r>
      <w:r>
        <w:rPr>
          <w:rFonts w:ascii="Times New Roman" w:hAnsi="Times New Roman"/>
          <w:szCs w:val="24"/>
        </w:rPr>
        <w:t xml:space="preserve"> are required </w:t>
      </w:r>
      <w:r w:rsidR="00151C26">
        <w:t>to complete and sign</w:t>
      </w:r>
      <w:r w:rsidR="0012299A">
        <w:t xml:space="preserve">, annually, </w:t>
      </w:r>
      <w:r w:rsidR="00151C26">
        <w:t xml:space="preserve">this </w:t>
      </w:r>
      <w:r w:rsidR="00272961">
        <w:t>Organization</w:t>
      </w:r>
      <w:r w:rsidR="00C21CC7">
        <w:t xml:space="preserve"> </w:t>
      </w:r>
      <w:r w:rsidR="00D44D72">
        <w:t xml:space="preserve">Code of Ethics (the “Code”) </w:t>
      </w:r>
      <w:r w:rsidR="00151C26">
        <w:t>Certificate of Understanding and Compliance</w:t>
      </w:r>
      <w:r w:rsidR="00193AB9">
        <w:t>, and return th</w:t>
      </w:r>
      <w:r w:rsidR="00C60F2A">
        <w:t>e</w:t>
      </w:r>
      <w:r w:rsidR="00193AB9">
        <w:t xml:space="preserve"> Certificate to </w:t>
      </w:r>
      <w:r w:rsidR="00DF1266">
        <w:t xml:space="preserve">the </w:t>
      </w:r>
      <w:r w:rsidR="00DF1266" w:rsidRPr="00E354E4">
        <w:rPr>
          <w:rFonts w:ascii="Times New Roman" w:hAnsi="Times New Roman"/>
          <w:szCs w:val="24"/>
        </w:rPr>
        <w:t>Director of Shared Services</w:t>
      </w:r>
      <w:r w:rsidR="00151C26" w:rsidRPr="00841FD2">
        <w:t>.</w:t>
      </w:r>
    </w:p>
    <w:p w14:paraId="50A99657" w14:textId="77777777" w:rsidR="00151C26" w:rsidRDefault="00151C26" w:rsidP="00E354E4">
      <w:pPr>
        <w:spacing w:before="100" w:beforeAutospacing="1" w:after="100" w:afterAutospacing="1"/>
        <w:jc w:val="both"/>
      </w:pPr>
      <w:r w:rsidRPr="00E354E4">
        <w:rPr>
          <w:rFonts w:ascii="Times New Roman" w:hAnsi="Times New Roman"/>
          <w:szCs w:val="24"/>
        </w:rPr>
        <w:t xml:space="preserve">If you are not in compliance, or if there is some question or issue that you need to clarify before signing this certificate, contact the </w:t>
      </w:r>
      <w:r w:rsidR="00E354E4" w:rsidRPr="00E354E4">
        <w:rPr>
          <w:rFonts w:ascii="Times New Roman" w:hAnsi="Times New Roman"/>
          <w:szCs w:val="24"/>
        </w:rPr>
        <w:t xml:space="preserve">CEO, Director of Shared Services or the Chair of the Finance and Audit Committee. </w:t>
      </w:r>
    </w:p>
    <w:p w14:paraId="14F96F89" w14:textId="77777777" w:rsidR="00151C26" w:rsidRDefault="00151C26" w:rsidP="00151C26">
      <w:pPr>
        <w:jc w:val="both"/>
      </w:pPr>
    </w:p>
    <w:p w14:paraId="40388BC6" w14:textId="77777777" w:rsidR="00151C26" w:rsidRDefault="00151C26" w:rsidP="00151C2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56FCD3" w14:textId="77777777" w:rsidR="00151C26" w:rsidRDefault="00151C26" w:rsidP="00151C26">
      <w:pPr>
        <w:jc w:val="both"/>
      </w:pPr>
      <w:r w:rsidRPr="00797A70">
        <w:t>Print Full Name</w:t>
      </w:r>
    </w:p>
    <w:p w14:paraId="282E18F3" w14:textId="77777777" w:rsidR="00B77566" w:rsidRDefault="00B77566" w:rsidP="00B77566">
      <w:pPr>
        <w:tabs>
          <w:tab w:val="num" w:pos="360"/>
        </w:tabs>
        <w:jc w:val="both"/>
      </w:pPr>
    </w:p>
    <w:p w14:paraId="0B7FE425" w14:textId="23A2E0C9" w:rsidR="00B77566" w:rsidRDefault="00B77566" w:rsidP="00B77566">
      <w:pPr>
        <w:tabs>
          <w:tab w:val="num" w:pos="360"/>
        </w:tabs>
        <w:spacing w:line="360" w:lineRule="auto"/>
        <w:jc w:val="both"/>
      </w:pPr>
      <w:r>
        <w:t xml:space="preserve">Relationship with </w:t>
      </w:r>
      <w:r w:rsidR="00272961">
        <w:t>Organization</w:t>
      </w:r>
      <w:r w:rsidRPr="00797A70">
        <w:t xml:space="preserve"> (</w:t>
      </w:r>
      <w:r>
        <w:t>c</w:t>
      </w:r>
      <w:r w:rsidRPr="00797A70">
        <w:t>heck one)</w:t>
      </w:r>
    </w:p>
    <w:p w14:paraId="446005F4" w14:textId="77777777" w:rsidR="00193AB9" w:rsidRDefault="002A0D47" w:rsidP="00B77566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023865">
        <w:fldChar w:fldCharType="separate"/>
      </w:r>
      <w:r>
        <w:fldChar w:fldCharType="end"/>
      </w:r>
      <w:bookmarkEnd w:id="1"/>
      <w:r>
        <w:tab/>
      </w:r>
      <w:r w:rsidR="00193AB9">
        <w:t>Officer and/</w:t>
      </w:r>
      <w:r w:rsidR="007F5801">
        <w:t>or Director</w:t>
      </w:r>
    </w:p>
    <w:p w14:paraId="32D1496B" w14:textId="77777777" w:rsidR="00193AB9" w:rsidRDefault="002A0D47" w:rsidP="00193AB9">
      <w:pPr>
        <w:spacing w:line="360" w:lineRule="auto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023865">
        <w:fldChar w:fldCharType="separate"/>
      </w:r>
      <w:r>
        <w:fldChar w:fldCharType="end"/>
      </w:r>
      <w:bookmarkEnd w:id="2"/>
      <w:r>
        <w:tab/>
      </w:r>
      <w:r w:rsidR="00193AB9">
        <w:t xml:space="preserve">Employee -- Full-Time, Part-Time or Temporary </w:t>
      </w:r>
    </w:p>
    <w:p w14:paraId="21FA574E" w14:textId="7D47FD38" w:rsidR="008E0497" w:rsidRDefault="008E0497" w:rsidP="00B77566">
      <w:pPr>
        <w:spacing w:line="360" w:lineRule="auto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023865">
        <w:fldChar w:fldCharType="separate"/>
      </w:r>
      <w:r>
        <w:fldChar w:fldCharType="end"/>
      </w:r>
      <w:bookmarkEnd w:id="3"/>
      <w:r>
        <w:tab/>
        <w:t xml:space="preserve">Contract </w:t>
      </w:r>
      <w:r w:rsidR="00C95338">
        <w:t xml:space="preserve">staff </w:t>
      </w:r>
      <w:r w:rsidR="002B56E9">
        <w:t>(e.g. freelancer)</w:t>
      </w:r>
    </w:p>
    <w:p w14:paraId="4DCA48FA" w14:textId="04FBC1A2" w:rsidR="0097505A" w:rsidRPr="00797A70" w:rsidRDefault="0097505A" w:rsidP="00B77566">
      <w:pPr>
        <w:spacing w:line="360" w:lineRule="auto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3865">
        <w:fldChar w:fldCharType="separate"/>
      </w:r>
      <w:r>
        <w:fldChar w:fldCharType="end"/>
      </w:r>
      <w:r>
        <w:tab/>
        <w:t>Editorial Advisory and Securities Review Committee member</w:t>
      </w:r>
    </w:p>
    <w:p w14:paraId="1BF3FF1D" w14:textId="77777777" w:rsidR="00151C26" w:rsidRDefault="00151C26" w:rsidP="00151C26">
      <w:pPr>
        <w:jc w:val="both"/>
        <w:rPr>
          <w:sz w:val="20"/>
        </w:rPr>
      </w:pPr>
    </w:p>
    <w:p w14:paraId="7A8EC2B7" w14:textId="2F21C38D" w:rsidR="00151C26" w:rsidRPr="00797A70" w:rsidRDefault="00151C26" w:rsidP="00151C26">
      <w:pPr>
        <w:tabs>
          <w:tab w:val="num" w:pos="360"/>
        </w:tabs>
        <w:jc w:val="both"/>
      </w:pPr>
      <w:r w:rsidRPr="00797A70">
        <w:t xml:space="preserve">I certify that I have received, read and understand the </w:t>
      </w:r>
      <w:r w:rsidR="00272961">
        <w:t>Organization</w:t>
      </w:r>
      <w:r w:rsidR="00C95338">
        <w:t xml:space="preserve"> </w:t>
      </w:r>
      <w:r w:rsidRPr="00797A70">
        <w:t>Code of Ethics.</w:t>
      </w:r>
    </w:p>
    <w:p w14:paraId="51D0D5C0" w14:textId="77777777" w:rsidR="00151C26" w:rsidRPr="00797A70" w:rsidRDefault="00151C26" w:rsidP="00151C26"/>
    <w:p w14:paraId="53A4F68C" w14:textId="3D57C95F" w:rsidR="00151C26" w:rsidRDefault="00151C26" w:rsidP="00064208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797A70">
        <w:t>I acknowledge and accept the provisions of th</w:t>
      </w:r>
      <w:r w:rsidR="00C60F2A">
        <w:t xml:space="preserve">e </w:t>
      </w:r>
      <w:r w:rsidRPr="00797A70">
        <w:t xml:space="preserve">Code and understand that my present and continued relationship with the </w:t>
      </w:r>
      <w:r w:rsidR="00272961">
        <w:t>Organization</w:t>
      </w:r>
      <w:r w:rsidR="00C60F2A">
        <w:t xml:space="preserve"> </w:t>
      </w:r>
      <w:r w:rsidRPr="00797A70">
        <w:t xml:space="preserve">requires that I comply with </w:t>
      </w:r>
      <w:r w:rsidR="00C60F2A">
        <w:t xml:space="preserve">all provisions of the Code.  </w:t>
      </w:r>
      <w:r w:rsidRPr="00797A70">
        <w:t xml:space="preserve">Failure to comply with the Code may </w:t>
      </w:r>
      <w:r>
        <w:t xml:space="preserve">subject me to </w:t>
      </w:r>
      <w:r w:rsidR="00C60F2A">
        <w:t>d</w:t>
      </w:r>
      <w:r w:rsidRPr="00797A70">
        <w:t>iscipline, including termination of employment, service, or contract</w:t>
      </w:r>
      <w:r>
        <w:t>.</w:t>
      </w:r>
    </w:p>
    <w:p w14:paraId="7A9343DB" w14:textId="77777777" w:rsidR="00151C26" w:rsidRDefault="00151C26" w:rsidP="00064208">
      <w:pPr>
        <w:jc w:val="both"/>
      </w:pPr>
    </w:p>
    <w:p w14:paraId="7E9F1114" w14:textId="77777777" w:rsidR="00151C26" w:rsidRDefault="00151C26" w:rsidP="00176F07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 xml:space="preserve">I recognize that I have an obligation to report any violation of the Code, whether personally involved or aware of a possible violation by any other individual, promptly to the </w:t>
      </w:r>
      <w:r w:rsidR="00E354E4" w:rsidRPr="00E354E4">
        <w:rPr>
          <w:rFonts w:ascii="Times New Roman" w:hAnsi="Times New Roman"/>
          <w:szCs w:val="24"/>
        </w:rPr>
        <w:t>CEO, Director of Shared Services or the Chair of the Finance and Audit Committee</w:t>
      </w:r>
      <w:r w:rsidR="00E354E4">
        <w:rPr>
          <w:rFonts w:ascii="Times New Roman" w:hAnsi="Times New Roman"/>
          <w:szCs w:val="24"/>
        </w:rPr>
        <w:t>.</w:t>
      </w:r>
      <w:r>
        <w:t xml:space="preserve">  </w:t>
      </w:r>
    </w:p>
    <w:p w14:paraId="375F3B74" w14:textId="77777777" w:rsidR="00193AB9" w:rsidRDefault="00193AB9" w:rsidP="00193AB9">
      <w:pPr>
        <w:jc w:val="both"/>
      </w:pPr>
    </w:p>
    <w:p w14:paraId="5B78AF79" w14:textId="77777777" w:rsidR="00151C26" w:rsidRDefault="00151C26" w:rsidP="00151C26"/>
    <w:p w14:paraId="3FF0A919" w14:textId="77777777" w:rsidR="00064208" w:rsidRDefault="00064208" w:rsidP="00151C26"/>
    <w:p w14:paraId="0E93EC64" w14:textId="77777777" w:rsidR="00151C26" w:rsidRDefault="00151C26" w:rsidP="00151C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E076AB" w14:textId="77777777" w:rsidR="00B6068D" w:rsidRPr="00151C26" w:rsidRDefault="00151C26" w:rsidP="00B77566">
      <w:pPr>
        <w:rPr>
          <w:sz w:val="22"/>
          <w:szCs w:val="22"/>
        </w:rPr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6068D" w:rsidRPr="00151C26" w:rsidSect="00C157C9">
      <w:pgSz w:w="12240" w:h="15840" w:code="1"/>
      <w:pgMar w:top="1296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2148" w14:textId="77777777" w:rsidR="008E564D" w:rsidRDefault="008E564D">
      <w:r>
        <w:separator/>
      </w:r>
    </w:p>
  </w:endnote>
  <w:endnote w:type="continuationSeparator" w:id="0">
    <w:p w14:paraId="3D6F8157" w14:textId="77777777" w:rsidR="008E564D" w:rsidRDefault="008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563A" w14:textId="33DE2B99" w:rsidR="006725DB" w:rsidRDefault="00023865" w:rsidP="006F2FDF">
    <w:pPr>
      <w:pStyle w:val="Footer"/>
      <w:rPr>
        <w:sz w:val="16"/>
        <w:szCs w:val="16"/>
      </w:rPr>
    </w:pPr>
    <w:r>
      <w:rPr>
        <w:sz w:val="16"/>
        <w:szCs w:val="16"/>
      </w:rPr>
      <w:t>R</w:t>
    </w:r>
    <w:r w:rsidR="008A3538">
      <w:rPr>
        <w:sz w:val="16"/>
        <w:szCs w:val="16"/>
      </w:rPr>
      <w:t>evised</w:t>
    </w:r>
    <w:r>
      <w:rPr>
        <w:sz w:val="16"/>
        <w:szCs w:val="16"/>
      </w:rPr>
      <w:t xml:space="preserve"> 2/2023</w:t>
    </w:r>
  </w:p>
  <w:p w14:paraId="6D6DE335" w14:textId="77777777" w:rsidR="006725DB" w:rsidRPr="00C11086" w:rsidRDefault="006725DB" w:rsidP="006F2FDF">
    <w:pPr>
      <w:pStyle w:val="Footer"/>
      <w:rPr>
        <w:sz w:val="16"/>
        <w:szCs w:val="16"/>
      </w:rPr>
    </w:pPr>
    <w:r w:rsidRPr="004E363F">
      <w:rPr>
        <w:sz w:val="16"/>
        <w:szCs w:val="16"/>
      </w:rPr>
      <w:t xml:space="preserve">Page </w:t>
    </w:r>
    <w:r w:rsidRPr="004E363F">
      <w:rPr>
        <w:sz w:val="16"/>
        <w:szCs w:val="16"/>
      </w:rPr>
      <w:fldChar w:fldCharType="begin"/>
    </w:r>
    <w:r w:rsidRPr="004E363F">
      <w:rPr>
        <w:sz w:val="16"/>
        <w:szCs w:val="16"/>
      </w:rPr>
      <w:instrText xml:space="preserve"> PAGE </w:instrText>
    </w:r>
    <w:r w:rsidRPr="004E363F">
      <w:rPr>
        <w:sz w:val="16"/>
        <w:szCs w:val="16"/>
      </w:rPr>
      <w:fldChar w:fldCharType="separate"/>
    </w:r>
    <w:r w:rsidR="005B38F4">
      <w:rPr>
        <w:noProof/>
        <w:sz w:val="16"/>
        <w:szCs w:val="16"/>
      </w:rPr>
      <w:t>1</w:t>
    </w:r>
    <w:r w:rsidRPr="004E363F">
      <w:rPr>
        <w:sz w:val="16"/>
        <w:szCs w:val="16"/>
      </w:rPr>
      <w:fldChar w:fldCharType="end"/>
    </w:r>
    <w:r w:rsidRPr="004E363F">
      <w:rPr>
        <w:sz w:val="16"/>
        <w:szCs w:val="16"/>
      </w:rPr>
      <w:t xml:space="preserve"> of </w:t>
    </w:r>
    <w:r w:rsidRPr="004E363F">
      <w:rPr>
        <w:sz w:val="16"/>
        <w:szCs w:val="16"/>
      </w:rPr>
      <w:fldChar w:fldCharType="begin"/>
    </w:r>
    <w:r w:rsidRPr="004E363F">
      <w:rPr>
        <w:sz w:val="16"/>
        <w:szCs w:val="16"/>
      </w:rPr>
      <w:instrText xml:space="preserve"> NUMPAGES </w:instrText>
    </w:r>
    <w:r w:rsidRPr="004E363F">
      <w:rPr>
        <w:sz w:val="16"/>
        <w:szCs w:val="16"/>
      </w:rPr>
      <w:fldChar w:fldCharType="separate"/>
    </w:r>
    <w:r w:rsidR="005B38F4">
      <w:rPr>
        <w:noProof/>
        <w:sz w:val="16"/>
        <w:szCs w:val="16"/>
      </w:rPr>
      <w:t>4</w:t>
    </w:r>
    <w:r w:rsidRPr="004E363F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8928" w14:textId="77777777" w:rsidR="008E564D" w:rsidRDefault="008E564D">
      <w:r>
        <w:separator/>
      </w:r>
    </w:p>
  </w:footnote>
  <w:footnote w:type="continuationSeparator" w:id="0">
    <w:p w14:paraId="748E1932" w14:textId="77777777" w:rsidR="008E564D" w:rsidRDefault="008E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86C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2DCE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11AF5"/>
    <w:multiLevelType w:val="hybridMultilevel"/>
    <w:tmpl w:val="530EB976"/>
    <w:lvl w:ilvl="0" w:tplc="30DE34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color w:val="auto"/>
      </w:rPr>
    </w:lvl>
    <w:lvl w:ilvl="1" w:tplc="2C040E3E">
      <w:start w:val="4"/>
      <w:numFmt w:val="decimal"/>
      <w:lvlText w:val="%2.0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6B29"/>
    <w:multiLevelType w:val="multilevel"/>
    <w:tmpl w:val="081C5D7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4C0532"/>
    <w:multiLevelType w:val="multilevel"/>
    <w:tmpl w:val="FA6EE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42BCD"/>
    <w:multiLevelType w:val="hybridMultilevel"/>
    <w:tmpl w:val="E5020E22"/>
    <w:lvl w:ilvl="0" w:tplc="907A0B4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2160681"/>
    <w:multiLevelType w:val="hybridMultilevel"/>
    <w:tmpl w:val="6E842C0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32E79"/>
    <w:multiLevelType w:val="hybridMultilevel"/>
    <w:tmpl w:val="304ADC8E"/>
    <w:lvl w:ilvl="0" w:tplc="CD6AD4AA">
      <w:start w:val="1"/>
      <w:numFmt w:val="none"/>
      <w:lvlText w:val="1.0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931CE"/>
    <w:multiLevelType w:val="hybridMultilevel"/>
    <w:tmpl w:val="F3DCC3D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D894075"/>
    <w:multiLevelType w:val="hybridMultilevel"/>
    <w:tmpl w:val="F7063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21D93"/>
    <w:multiLevelType w:val="multilevel"/>
    <w:tmpl w:val="247888A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4B91237"/>
    <w:multiLevelType w:val="hybridMultilevel"/>
    <w:tmpl w:val="FAA882EC"/>
    <w:lvl w:ilvl="0" w:tplc="30DE34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0F2CFA"/>
    <w:multiLevelType w:val="hybridMultilevel"/>
    <w:tmpl w:val="7994A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01E0A"/>
    <w:multiLevelType w:val="hybridMultilevel"/>
    <w:tmpl w:val="3E24344C"/>
    <w:lvl w:ilvl="0" w:tplc="B972F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D07A0"/>
    <w:multiLevelType w:val="hybridMultilevel"/>
    <w:tmpl w:val="E1E24E52"/>
    <w:lvl w:ilvl="0" w:tplc="55F61D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42335"/>
    <w:multiLevelType w:val="hybridMultilevel"/>
    <w:tmpl w:val="E1C4E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92C1A"/>
    <w:multiLevelType w:val="hybridMultilevel"/>
    <w:tmpl w:val="B8647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B71984"/>
    <w:multiLevelType w:val="hybridMultilevel"/>
    <w:tmpl w:val="17D0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78"/>
    <w:multiLevelType w:val="multilevel"/>
    <w:tmpl w:val="8C0AE852"/>
    <w:lvl w:ilvl="0">
      <w:start w:val="1"/>
      <w:numFmt w:val="decimal"/>
      <w:lvlText w:val="%11.0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05C0C"/>
    <w:multiLevelType w:val="hybridMultilevel"/>
    <w:tmpl w:val="19727E84"/>
    <w:lvl w:ilvl="0" w:tplc="30DE3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73B31"/>
    <w:multiLevelType w:val="multilevel"/>
    <w:tmpl w:val="2A1A7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7016D0"/>
    <w:multiLevelType w:val="hybridMultilevel"/>
    <w:tmpl w:val="FF7CDEB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9AD3B99"/>
    <w:multiLevelType w:val="multilevel"/>
    <w:tmpl w:val="44921556"/>
    <w:lvl w:ilvl="0">
      <w:start w:val="1"/>
      <w:numFmt w:val="decimal"/>
      <w:lvlText w:val="%1.0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B6D5910"/>
    <w:multiLevelType w:val="hybridMultilevel"/>
    <w:tmpl w:val="E30015FA"/>
    <w:lvl w:ilvl="0" w:tplc="55F61D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8055D"/>
    <w:multiLevelType w:val="multilevel"/>
    <w:tmpl w:val="9B28CC8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2.0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81E29"/>
    <w:multiLevelType w:val="multilevel"/>
    <w:tmpl w:val="321CD4EC"/>
    <w:lvl w:ilvl="0">
      <w:start w:val="1"/>
      <w:numFmt w:val="none"/>
      <w:lvlText w:val="1.0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27B4F"/>
    <w:multiLevelType w:val="hybridMultilevel"/>
    <w:tmpl w:val="7052972E"/>
    <w:lvl w:ilvl="0" w:tplc="5EE03C16">
      <w:start w:val="1"/>
      <w:numFmt w:val="decimal"/>
      <w:lvlText w:val="%1.0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61C70"/>
    <w:multiLevelType w:val="hybridMultilevel"/>
    <w:tmpl w:val="7024B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14957"/>
    <w:multiLevelType w:val="multilevel"/>
    <w:tmpl w:val="FF7CDE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F12776A"/>
    <w:multiLevelType w:val="multilevel"/>
    <w:tmpl w:val="D9984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C7AFA"/>
    <w:multiLevelType w:val="hybridMultilevel"/>
    <w:tmpl w:val="166EC9E6"/>
    <w:lvl w:ilvl="0" w:tplc="30DE34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44475F"/>
    <w:multiLevelType w:val="multilevel"/>
    <w:tmpl w:val="6310F0C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2" w15:restartNumberingAfterBreak="0">
    <w:nsid w:val="632A033D"/>
    <w:multiLevelType w:val="hybridMultilevel"/>
    <w:tmpl w:val="B1405AC4"/>
    <w:lvl w:ilvl="0" w:tplc="30DE34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71D3D"/>
    <w:multiLevelType w:val="hybridMultilevel"/>
    <w:tmpl w:val="CD468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E33F7"/>
    <w:multiLevelType w:val="hybridMultilevel"/>
    <w:tmpl w:val="7D884122"/>
    <w:lvl w:ilvl="0" w:tplc="907A0B4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63C94"/>
    <w:multiLevelType w:val="hybridMultilevel"/>
    <w:tmpl w:val="712E7588"/>
    <w:lvl w:ilvl="0" w:tplc="A3C65F92">
      <w:start w:val="4"/>
      <w:numFmt w:val="decimal"/>
      <w:lvlText w:val="%1.0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213F2"/>
    <w:multiLevelType w:val="hybridMultilevel"/>
    <w:tmpl w:val="C99E2E86"/>
    <w:lvl w:ilvl="0" w:tplc="30DE34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9"/>
  </w:num>
  <w:num w:numId="4">
    <w:abstractNumId w:val="20"/>
  </w:num>
  <w:num w:numId="5">
    <w:abstractNumId w:val="10"/>
  </w:num>
  <w:num w:numId="6">
    <w:abstractNumId w:val="28"/>
  </w:num>
  <w:num w:numId="7">
    <w:abstractNumId w:val="31"/>
  </w:num>
  <w:num w:numId="8">
    <w:abstractNumId w:val="30"/>
  </w:num>
  <w:num w:numId="9">
    <w:abstractNumId w:val="5"/>
  </w:num>
  <w:num w:numId="10">
    <w:abstractNumId w:val="1"/>
  </w:num>
  <w:num w:numId="11">
    <w:abstractNumId w:val="34"/>
  </w:num>
  <w:num w:numId="12">
    <w:abstractNumId w:val="14"/>
  </w:num>
  <w:num w:numId="13">
    <w:abstractNumId w:val="16"/>
  </w:num>
  <w:num w:numId="14">
    <w:abstractNumId w:val="12"/>
  </w:num>
  <w:num w:numId="15">
    <w:abstractNumId w:val="23"/>
  </w:num>
  <w:num w:numId="16">
    <w:abstractNumId w:val="2"/>
  </w:num>
  <w:num w:numId="17">
    <w:abstractNumId w:val="36"/>
  </w:num>
  <w:num w:numId="18">
    <w:abstractNumId w:val="32"/>
  </w:num>
  <w:num w:numId="19">
    <w:abstractNumId w:val="3"/>
  </w:num>
  <w:num w:numId="20">
    <w:abstractNumId w:val="27"/>
  </w:num>
  <w:num w:numId="21">
    <w:abstractNumId w:val="22"/>
  </w:num>
  <w:num w:numId="22">
    <w:abstractNumId w:val="15"/>
  </w:num>
  <w:num w:numId="23">
    <w:abstractNumId w:val="7"/>
  </w:num>
  <w:num w:numId="24">
    <w:abstractNumId w:val="26"/>
  </w:num>
  <w:num w:numId="25">
    <w:abstractNumId w:val="25"/>
  </w:num>
  <w:num w:numId="26">
    <w:abstractNumId w:val="18"/>
  </w:num>
  <w:num w:numId="27">
    <w:abstractNumId w:val="24"/>
  </w:num>
  <w:num w:numId="28">
    <w:abstractNumId w:val="11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9"/>
  </w:num>
  <w:num w:numId="32">
    <w:abstractNumId w:val="35"/>
  </w:num>
  <w:num w:numId="33">
    <w:abstractNumId w:val="33"/>
  </w:num>
  <w:num w:numId="34">
    <w:abstractNumId w:val="6"/>
  </w:num>
  <w:num w:numId="35">
    <w:abstractNumId w:val="13"/>
  </w:num>
  <w:num w:numId="36">
    <w:abstractNumId w:val="8"/>
  </w:num>
  <w:num w:numId="37">
    <w:abstractNumId w:val="1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45"/>
    <w:rsid w:val="00023865"/>
    <w:rsid w:val="00023F7E"/>
    <w:rsid w:val="00064208"/>
    <w:rsid w:val="0009589B"/>
    <w:rsid w:val="000D10A5"/>
    <w:rsid w:val="0010686C"/>
    <w:rsid w:val="0011268A"/>
    <w:rsid w:val="00115BD6"/>
    <w:rsid w:val="0012299A"/>
    <w:rsid w:val="001238F6"/>
    <w:rsid w:val="00132F55"/>
    <w:rsid w:val="001517F0"/>
    <w:rsid w:val="00151C26"/>
    <w:rsid w:val="00153400"/>
    <w:rsid w:val="00176F07"/>
    <w:rsid w:val="00193AB9"/>
    <w:rsid w:val="00196A89"/>
    <w:rsid w:val="001C395E"/>
    <w:rsid w:val="001E504B"/>
    <w:rsid w:val="00272961"/>
    <w:rsid w:val="00272F03"/>
    <w:rsid w:val="00280817"/>
    <w:rsid w:val="00295E00"/>
    <w:rsid w:val="002A0D47"/>
    <w:rsid w:val="002A186F"/>
    <w:rsid w:val="002B56E9"/>
    <w:rsid w:val="002C18B3"/>
    <w:rsid w:val="002E4305"/>
    <w:rsid w:val="0034136C"/>
    <w:rsid w:val="00351C64"/>
    <w:rsid w:val="00364B8F"/>
    <w:rsid w:val="003728BF"/>
    <w:rsid w:val="003926BD"/>
    <w:rsid w:val="003B4758"/>
    <w:rsid w:val="003B5107"/>
    <w:rsid w:val="003B5B38"/>
    <w:rsid w:val="003C1390"/>
    <w:rsid w:val="004001A8"/>
    <w:rsid w:val="00405487"/>
    <w:rsid w:val="00430BA6"/>
    <w:rsid w:val="00452739"/>
    <w:rsid w:val="00452DAB"/>
    <w:rsid w:val="0048004F"/>
    <w:rsid w:val="0048732F"/>
    <w:rsid w:val="00487879"/>
    <w:rsid w:val="00490C4E"/>
    <w:rsid w:val="00494284"/>
    <w:rsid w:val="004E2FB3"/>
    <w:rsid w:val="004E363F"/>
    <w:rsid w:val="00510191"/>
    <w:rsid w:val="00517B8C"/>
    <w:rsid w:val="00561FBB"/>
    <w:rsid w:val="00582A55"/>
    <w:rsid w:val="005A59BC"/>
    <w:rsid w:val="005B38F4"/>
    <w:rsid w:val="005C7404"/>
    <w:rsid w:val="005E2953"/>
    <w:rsid w:val="005E7A1F"/>
    <w:rsid w:val="0062103E"/>
    <w:rsid w:val="006417BA"/>
    <w:rsid w:val="0065404B"/>
    <w:rsid w:val="006725DB"/>
    <w:rsid w:val="006737BD"/>
    <w:rsid w:val="00691871"/>
    <w:rsid w:val="006A3CD0"/>
    <w:rsid w:val="006C2498"/>
    <w:rsid w:val="006C68C5"/>
    <w:rsid w:val="006D1E65"/>
    <w:rsid w:val="006E27BA"/>
    <w:rsid w:val="006E5731"/>
    <w:rsid w:val="006F2FDF"/>
    <w:rsid w:val="007228DE"/>
    <w:rsid w:val="00725531"/>
    <w:rsid w:val="00751270"/>
    <w:rsid w:val="00766F0D"/>
    <w:rsid w:val="00787466"/>
    <w:rsid w:val="00791F81"/>
    <w:rsid w:val="007C7C18"/>
    <w:rsid w:val="007E7944"/>
    <w:rsid w:val="007F5801"/>
    <w:rsid w:val="007F622D"/>
    <w:rsid w:val="007F7372"/>
    <w:rsid w:val="00805966"/>
    <w:rsid w:val="00806560"/>
    <w:rsid w:val="00854E72"/>
    <w:rsid w:val="008622D4"/>
    <w:rsid w:val="00864945"/>
    <w:rsid w:val="0087184D"/>
    <w:rsid w:val="008947BB"/>
    <w:rsid w:val="008952B1"/>
    <w:rsid w:val="008A34B9"/>
    <w:rsid w:val="008A3538"/>
    <w:rsid w:val="008B3639"/>
    <w:rsid w:val="008B683A"/>
    <w:rsid w:val="008D7324"/>
    <w:rsid w:val="008E0497"/>
    <w:rsid w:val="008E1336"/>
    <w:rsid w:val="008E2167"/>
    <w:rsid w:val="008E564D"/>
    <w:rsid w:val="008E7960"/>
    <w:rsid w:val="00935234"/>
    <w:rsid w:val="00960E09"/>
    <w:rsid w:val="009720FE"/>
    <w:rsid w:val="0097505A"/>
    <w:rsid w:val="009B65FA"/>
    <w:rsid w:val="009F5A12"/>
    <w:rsid w:val="00A25788"/>
    <w:rsid w:val="00A3075C"/>
    <w:rsid w:val="00A351B9"/>
    <w:rsid w:val="00A4605B"/>
    <w:rsid w:val="00A678B1"/>
    <w:rsid w:val="00A7413E"/>
    <w:rsid w:val="00A827D1"/>
    <w:rsid w:val="00A82836"/>
    <w:rsid w:val="00A83E6D"/>
    <w:rsid w:val="00A86CF5"/>
    <w:rsid w:val="00A93627"/>
    <w:rsid w:val="00AB2D45"/>
    <w:rsid w:val="00AB46C5"/>
    <w:rsid w:val="00AB4A91"/>
    <w:rsid w:val="00B128D3"/>
    <w:rsid w:val="00B13014"/>
    <w:rsid w:val="00B14AB4"/>
    <w:rsid w:val="00B30FD9"/>
    <w:rsid w:val="00B45AC6"/>
    <w:rsid w:val="00B52FD7"/>
    <w:rsid w:val="00B559CE"/>
    <w:rsid w:val="00B6068D"/>
    <w:rsid w:val="00B77566"/>
    <w:rsid w:val="00B933A5"/>
    <w:rsid w:val="00B9662C"/>
    <w:rsid w:val="00BA1B39"/>
    <w:rsid w:val="00BB2D4D"/>
    <w:rsid w:val="00BC093E"/>
    <w:rsid w:val="00BD644D"/>
    <w:rsid w:val="00BE2385"/>
    <w:rsid w:val="00BE24F5"/>
    <w:rsid w:val="00C04187"/>
    <w:rsid w:val="00C11086"/>
    <w:rsid w:val="00C157C9"/>
    <w:rsid w:val="00C17BFC"/>
    <w:rsid w:val="00C17E5E"/>
    <w:rsid w:val="00C21CC7"/>
    <w:rsid w:val="00C25A1F"/>
    <w:rsid w:val="00C2607C"/>
    <w:rsid w:val="00C27F9F"/>
    <w:rsid w:val="00C44BB5"/>
    <w:rsid w:val="00C60F2A"/>
    <w:rsid w:val="00C61CF3"/>
    <w:rsid w:val="00C7532A"/>
    <w:rsid w:val="00C8494C"/>
    <w:rsid w:val="00C85DAF"/>
    <w:rsid w:val="00C95338"/>
    <w:rsid w:val="00CA5879"/>
    <w:rsid w:val="00CE0664"/>
    <w:rsid w:val="00CE13CC"/>
    <w:rsid w:val="00D06017"/>
    <w:rsid w:val="00D2032B"/>
    <w:rsid w:val="00D44D72"/>
    <w:rsid w:val="00D5021E"/>
    <w:rsid w:val="00D62CFE"/>
    <w:rsid w:val="00D72AF3"/>
    <w:rsid w:val="00D77564"/>
    <w:rsid w:val="00D80B6E"/>
    <w:rsid w:val="00D875FD"/>
    <w:rsid w:val="00D94A66"/>
    <w:rsid w:val="00D95EEF"/>
    <w:rsid w:val="00DC2DE0"/>
    <w:rsid w:val="00DF0A65"/>
    <w:rsid w:val="00DF1266"/>
    <w:rsid w:val="00E20608"/>
    <w:rsid w:val="00E335BA"/>
    <w:rsid w:val="00E354E4"/>
    <w:rsid w:val="00E44845"/>
    <w:rsid w:val="00E60461"/>
    <w:rsid w:val="00E73835"/>
    <w:rsid w:val="00EB54B8"/>
    <w:rsid w:val="00EB7DE1"/>
    <w:rsid w:val="00ED76C3"/>
    <w:rsid w:val="00F12F84"/>
    <w:rsid w:val="00F1457E"/>
    <w:rsid w:val="00F3422C"/>
    <w:rsid w:val="00F5258E"/>
    <w:rsid w:val="00F56DD7"/>
    <w:rsid w:val="00F57623"/>
    <w:rsid w:val="00F623BE"/>
    <w:rsid w:val="00F671B3"/>
    <w:rsid w:val="00F75F99"/>
    <w:rsid w:val="00F76F13"/>
    <w:rsid w:val="00F80BEF"/>
    <w:rsid w:val="00F82ACB"/>
    <w:rsid w:val="00FA3AAC"/>
    <w:rsid w:val="00FD6867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168E3"/>
  <w15:chartTrackingRefBased/>
  <w15:docId w15:val="{160CE943-2278-4B92-8F4F-B35DE48F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1FBB"/>
    <w:rPr>
      <w:rFonts w:ascii="Times" w:eastAsia="Times" w:hAnsi="Times"/>
      <w:sz w:val="24"/>
    </w:rPr>
  </w:style>
  <w:style w:type="paragraph" w:styleId="Heading3">
    <w:name w:val="heading 3"/>
    <w:basedOn w:val="Normal"/>
    <w:qFormat/>
    <w:rsid w:val="003B5107"/>
    <w:pPr>
      <w:spacing w:before="160" w:after="160"/>
      <w:outlineLvl w:val="2"/>
    </w:pPr>
    <w:rPr>
      <w:rFonts w:ascii="Arial" w:eastAsia="Times New Roman" w:hAnsi="Arial" w:cs="Arial"/>
      <w:b/>
      <w:bCs/>
      <w:color w:val="334D5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FB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B510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qFormat/>
    <w:rsid w:val="003B5107"/>
    <w:rPr>
      <w:b/>
      <w:bCs/>
    </w:rPr>
  </w:style>
  <w:style w:type="character" w:styleId="Emphasis">
    <w:name w:val="Emphasis"/>
    <w:qFormat/>
    <w:rsid w:val="003B5107"/>
    <w:rPr>
      <w:i/>
      <w:iCs/>
    </w:rPr>
  </w:style>
  <w:style w:type="paragraph" w:styleId="Footer">
    <w:name w:val="footer"/>
    <w:basedOn w:val="Normal"/>
    <w:rsid w:val="00C1108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9B65FA"/>
    <w:rPr>
      <w:b/>
    </w:rPr>
  </w:style>
  <w:style w:type="paragraph" w:styleId="BalloonText">
    <w:name w:val="Balloon Text"/>
    <w:basedOn w:val="Normal"/>
    <w:link w:val="BalloonTextChar"/>
    <w:rsid w:val="006C6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8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6C68C5"/>
    <w:rPr>
      <w:color w:val="0000FF"/>
      <w:u w:val="single"/>
    </w:rPr>
  </w:style>
  <w:style w:type="paragraph" w:styleId="Revision">
    <w:name w:val="Revision"/>
    <w:hidden/>
    <w:uiPriority w:val="99"/>
    <w:semiHidden/>
    <w:rsid w:val="00B45AC6"/>
    <w:rPr>
      <w:rFonts w:ascii="Times" w:eastAsia="Times" w:hAnsi="Times"/>
      <w:sz w:val="24"/>
    </w:rPr>
  </w:style>
  <w:style w:type="character" w:styleId="FollowedHyperlink">
    <w:name w:val="FollowedHyperlink"/>
    <w:rsid w:val="00DF1266"/>
    <w:rPr>
      <w:color w:val="800080"/>
      <w:u w:val="single"/>
    </w:rPr>
  </w:style>
  <w:style w:type="character" w:styleId="CommentReference">
    <w:name w:val="annotation reference"/>
    <w:basedOn w:val="DefaultParagraphFont"/>
    <w:rsid w:val="00B1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4AB4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B1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4AB4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721">
          <w:marLeft w:val="12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882">
              <w:marLeft w:val="3900"/>
              <w:marRight w:val="0"/>
              <w:marTop w:val="240"/>
              <w:marBottom w:val="100"/>
              <w:divBdr>
                <w:top w:val="none" w:sz="0" w:space="0" w:color="auto"/>
                <w:left w:val="single" w:sz="8" w:space="5" w:color="CCD2D2"/>
                <w:bottom w:val="none" w:sz="0" w:space="0" w:color="auto"/>
                <w:right w:val="none" w:sz="0" w:space="0" w:color="auto"/>
              </w:divBdr>
              <w:divsChild>
                <w:div w:id="211000781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58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226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24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630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fft@betterinvesti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tterinvesting-my.sharepoint.com/personal/kzendel_betterinvesting_org/Documents/Official%20Documents/kzendel@betterinvesting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tif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0d75b-c780-4291-8672-848197fbb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03AAA3588FA44980A7AEC0E795A7F" ma:contentTypeVersion="14" ma:contentTypeDescription="Create a new document." ma:contentTypeScope="" ma:versionID="0a7a42b1de0103a9c9176ec6cfbca886">
  <xsd:schema xmlns:xsd="http://www.w3.org/2001/XMLSchema" xmlns:xs="http://www.w3.org/2001/XMLSchema" xmlns:p="http://schemas.microsoft.com/office/2006/metadata/properties" xmlns:ns3="c400d75b-c780-4291-8672-848197fbb068" xmlns:ns4="7b3c756c-6fee-4000-9716-19cdcde03e60" targetNamespace="http://schemas.microsoft.com/office/2006/metadata/properties" ma:root="true" ma:fieldsID="cdb0ed5f42301a65dcda0396bf470e51" ns3:_="" ns4:_="">
    <xsd:import namespace="c400d75b-c780-4291-8672-848197fbb068"/>
    <xsd:import namespace="7b3c756c-6fee-4000-9716-19cdcde03e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d75b-c780-4291-8672-848197fb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756c-6fee-4000-9716-19cdcde03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D9BF-BA2D-4622-88CA-1D233016588A}">
  <ds:schemaRefs>
    <ds:schemaRef ds:uri="7b3c756c-6fee-4000-9716-19cdcde03e60"/>
    <ds:schemaRef ds:uri="http://schemas.microsoft.com/office/2006/documentManagement/types"/>
    <ds:schemaRef ds:uri="http://purl.org/dc/elements/1.1/"/>
    <ds:schemaRef ds:uri="http://schemas.microsoft.com/office/2006/metadata/properties"/>
    <ds:schemaRef ds:uri="c400d75b-c780-4291-8672-848197fbb06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77926C-4416-4B72-A073-63747D045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ACA22-005A-4972-97CF-1F1628C4C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0d75b-c780-4291-8672-848197fbb068"/>
    <ds:schemaRef ds:uri="7b3c756c-6fee-4000-9716-19cdcde03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E5787-1539-4DAA-B9C5-33546C6B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1216</Words>
  <Characters>7418</Characters>
  <Application>Microsoft Office Word</Application>
  <DocSecurity>0</DocSecurity>
  <Lines>164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 Design</Company>
  <LinksUpToDate>false</LinksUpToDate>
  <CharactersWithSpaces>8570</CharactersWithSpaces>
  <SharedDoc>false</SharedDoc>
  <HLinks>
    <vt:vector size="12" baseType="variant">
      <vt:variant>
        <vt:i4>6291530</vt:i4>
      </vt:variant>
      <vt:variant>
        <vt:i4>6</vt:i4>
      </vt:variant>
      <vt:variant>
        <vt:i4>0</vt:i4>
      </vt:variant>
      <vt:variant>
        <vt:i4>5</vt:i4>
      </vt:variant>
      <vt:variant>
        <vt:lpwstr>mailto:clifft@betterinvesting.org</vt:lpwstr>
      </vt:variant>
      <vt:variant>
        <vt:lpwstr/>
      </vt:variant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kzendel@betterinvesting.org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Janice Baietty</dc:creator>
  <cp:keywords/>
  <cp:lastModifiedBy>Ken Zendel</cp:lastModifiedBy>
  <cp:revision>3</cp:revision>
  <cp:lastPrinted>2015-10-08T20:19:00Z</cp:lastPrinted>
  <dcterms:created xsi:type="dcterms:W3CDTF">2023-02-15T15:40:00Z</dcterms:created>
  <dcterms:modified xsi:type="dcterms:W3CDTF">2023-02-15T15:43:00Z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0x010100EA503AAA3588FA44980A7AEC0E795A7F</vt:lpwstr>
  </property>
</Properties>
</file>