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EE3E" w14:textId="178BCBAE" w:rsidR="00FE79A3" w:rsidRDefault="006D37C8" w:rsidP="00EC02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B578A0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</w:t>
      </w:r>
      <w:r w:rsidR="00FE79A3" w:rsidRPr="00FE79A3">
        <w:rPr>
          <w:noProof/>
          <w:sz w:val="32"/>
          <w:szCs w:val="32"/>
        </w:rPr>
        <w:drawing>
          <wp:inline distT="0" distB="0" distL="0" distR="0" wp14:anchorId="2A12D665" wp14:editId="3A0A33B1">
            <wp:extent cx="4210050" cy="857250"/>
            <wp:effectExtent l="0" t="0" r="0" b="0"/>
            <wp:docPr id="533101162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01162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C9AF6" w14:textId="77777777" w:rsidR="00A02AAC" w:rsidRDefault="00A02AAC" w:rsidP="00EC0264">
      <w:pPr>
        <w:rPr>
          <w:sz w:val="32"/>
          <w:szCs w:val="32"/>
        </w:rPr>
      </w:pPr>
    </w:p>
    <w:p w14:paraId="7399369D" w14:textId="58447E2E" w:rsidR="00A02AAC" w:rsidRPr="004C1C07" w:rsidRDefault="004C1C07" w:rsidP="00EC0264">
      <w:pPr>
        <w:rPr>
          <w:sz w:val="36"/>
          <w:szCs w:val="36"/>
        </w:rPr>
      </w:pPr>
      <w:r>
        <w:rPr>
          <w:rFonts w:ascii="Aptos" w:hAnsi="Aptos"/>
          <w:color w:val="222222"/>
          <w:shd w:val="clear" w:color="auto" w:fill="FFFFFF"/>
        </w:rPr>
        <w:t xml:space="preserve">                                                                                                                </w:t>
      </w:r>
      <w:r w:rsidRPr="004C1C07">
        <w:rPr>
          <w:rFonts w:ascii="Aptos" w:hAnsi="Aptos"/>
          <w:color w:val="222222"/>
          <w:sz w:val="36"/>
          <w:szCs w:val="36"/>
          <w:shd w:val="clear" w:color="auto" w:fill="FFFFFF"/>
        </w:rPr>
        <w:t>2025 Georgia Chapter Portfolio Contest</w:t>
      </w:r>
    </w:p>
    <w:p w14:paraId="44A9E31B" w14:textId="77777777" w:rsidR="00FE79A3" w:rsidRDefault="00FE79A3" w:rsidP="00EC0264">
      <w:pPr>
        <w:rPr>
          <w:sz w:val="32"/>
          <w:szCs w:val="32"/>
        </w:rPr>
      </w:pPr>
    </w:p>
    <w:p w14:paraId="09270F79" w14:textId="17C3914D" w:rsidR="00973AC4" w:rsidRDefault="0018011B" w:rsidP="00EC0264">
      <w:pPr>
        <w:rPr>
          <w:sz w:val="32"/>
          <w:szCs w:val="32"/>
        </w:rPr>
      </w:pPr>
      <w:r>
        <w:rPr>
          <w:sz w:val="32"/>
          <w:szCs w:val="32"/>
        </w:rPr>
        <w:t xml:space="preserve">This is the </w:t>
      </w:r>
      <w:r w:rsidR="0015030D">
        <w:rPr>
          <w:sz w:val="32"/>
          <w:szCs w:val="32"/>
        </w:rPr>
        <w:t xml:space="preserve">official </w:t>
      </w:r>
      <w:r>
        <w:rPr>
          <w:sz w:val="32"/>
          <w:szCs w:val="32"/>
        </w:rPr>
        <w:t>entry form for the 202</w:t>
      </w:r>
      <w:r w:rsidR="00EB291B">
        <w:rPr>
          <w:sz w:val="32"/>
          <w:szCs w:val="32"/>
        </w:rPr>
        <w:t>5</w:t>
      </w:r>
      <w:r>
        <w:rPr>
          <w:sz w:val="32"/>
          <w:szCs w:val="32"/>
        </w:rPr>
        <w:t xml:space="preserve"> Georgia Portfolio Contest. The entry deadline is</w:t>
      </w:r>
      <w:r w:rsidR="0063067D">
        <w:rPr>
          <w:sz w:val="32"/>
          <w:szCs w:val="32"/>
        </w:rPr>
        <w:t>:</w:t>
      </w:r>
    </w:p>
    <w:p w14:paraId="7EE9189F" w14:textId="644338BD" w:rsidR="000403F3" w:rsidRPr="00E451A6" w:rsidRDefault="00EB291B" w:rsidP="00320DB1">
      <w:pPr>
        <w:pStyle w:val="ListParagraph"/>
        <w:ind w:left="1080"/>
        <w:rPr>
          <w:b/>
          <w:bCs/>
          <w:sz w:val="32"/>
          <w:szCs w:val="32"/>
        </w:rPr>
      </w:pPr>
      <w:r>
        <w:rPr>
          <w:sz w:val="32"/>
          <w:szCs w:val="32"/>
        </w:rPr>
        <w:t>December</w:t>
      </w:r>
      <w:r w:rsidR="005C49ED">
        <w:rPr>
          <w:sz w:val="32"/>
          <w:szCs w:val="32"/>
        </w:rPr>
        <w:t xml:space="preserve"> </w:t>
      </w:r>
      <w:r w:rsidR="00C00C2C">
        <w:rPr>
          <w:sz w:val="32"/>
          <w:szCs w:val="32"/>
        </w:rPr>
        <w:t>31</w:t>
      </w:r>
      <w:r w:rsidR="005C49ED">
        <w:rPr>
          <w:sz w:val="32"/>
          <w:szCs w:val="32"/>
        </w:rPr>
        <w:t xml:space="preserve">, </w:t>
      </w:r>
      <w:r w:rsidR="0063067D">
        <w:rPr>
          <w:sz w:val="32"/>
          <w:szCs w:val="32"/>
        </w:rPr>
        <w:t>2024,</w:t>
      </w:r>
      <w:r w:rsidR="005C49ED">
        <w:rPr>
          <w:sz w:val="32"/>
          <w:szCs w:val="32"/>
        </w:rPr>
        <w:t xml:space="preserve"> at 11:59 PM EST. The maximum total investment is $100,000.00. A copy of the entry form must be email</w:t>
      </w:r>
      <w:r w:rsidR="00562C34">
        <w:rPr>
          <w:sz w:val="32"/>
          <w:szCs w:val="32"/>
        </w:rPr>
        <w:t xml:space="preserve">ed </w:t>
      </w:r>
      <w:r w:rsidR="005C49ED">
        <w:rPr>
          <w:sz w:val="32"/>
          <w:szCs w:val="32"/>
        </w:rPr>
        <w:t xml:space="preserve">to </w:t>
      </w:r>
      <w:hyperlink r:id="rId7" w:history="1">
        <w:r w:rsidR="005C49ED" w:rsidRPr="00E85615">
          <w:rPr>
            <w:rStyle w:val="Hyperlink"/>
            <w:sz w:val="32"/>
            <w:szCs w:val="32"/>
          </w:rPr>
          <w:t>clubsupport@georgia.betterinvesting.net</w:t>
        </w:r>
      </w:hyperlink>
      <w:r w:rsidR="005C49ED">
        <w:rPr>
          <w:sz w:val="32"/>
          <w:szCs w:val="32"/>
        </w:rPr>
        <w:t xml:space="preserve"> by the deadline.</w:t>
      </w:r>
      <w:r w:rsidR="005C49ED" w:rsidRPr="00174532">
        <w:t xml:space="preserve"> </w:t>
      </w:r>
      <w:r w:rsidR="005C49ED" w:rsidRPr="00174532">
        <w:rPr>
          <w:sz w:val="32"/>
          <w:szCs w:val="32"/>
        </w:rPr>
        <w:t>Draft rules for the</w:t>
      </w:r>
      <w:r w:rsidR="005C49ED">
        <w:rPr>
          <w:sz w:val="32"/>
          <w:szCs w:val="32"/>
        </w:rPr>
        <w:t xml:space="preserve"> contest are posted on the Georgia Chapter website in the News and Articles section. If any changes to the rules affect your allocation decisions, you may su</w:t>
      </w:r>
      <w:r w:rsidR="00562C34">
        <w:rPr>
          <w:sz w:val="32"/>
          <w:szCs w:val="32"/>
        </w:rPr>
        <w:t>b</w:t>
      </w:r>
      <w:r w:rsidR="005C49ED">
        <w:rPr>
          <w:sz w:val="32"/>
          <w:szCs w:val="32"/>
        </w:rPr>
        <w:t>mit a new entry form by the deadline.</w:t>
      </w:r>
      <w:r w:rsidR="000403F3">
        <w:rPr>
          <w:sz w:val="32"/>
          <w:szCs w:val="32"/>
        </w:rPr>
        <w:t xml:space="preserve"> </w:t>
      </w:r>
      <w:r w:rsidR="000403F3" w:rsidRPr="00E451A6">
        <w:rPr>
          <w:b/>
          <w:bCs/>
          <w:sz w:val="32"/>
          <w:szCs w:val="32"/>
        </w:rPr>
        <w:t xml:space="preserve">The </w:t>
      </w:r>
      <w:r w:rsidR="000403F3" w:rsidRPr="00EF4CB8">
        <w:rPr>
          <w:b/>
          <w:bCs/>
          <w:sz w:val="32"/>
          <w:szCs w:val="32"/>
        </w:rPr>
        <w:t>initial</w:t>
      </w:r>
      <w:r w:rsidR="000403F3" w:rsidRPr="00E451A6">
        <w:rPr>
          <w:b/>
          <w:bCs/>
          <w:sz w:val="32"/>
          <w:szCs w:val="32"/>
        </w:rPr>
        <w:t xml:space="preserve"> </w:t>
      </w:r>
      <w:r w:rsidR="000403F3" w:rsidRPr="00EF4CB8">
        <w:rPr>
          <w:b/>
          <w:bCs/>
          <w:sz w:val="32"/>
          <w:szCs w:val="32"/>
        </w:rPr>
        <w:t>valu</w:t>
      </w:r>
      <w:r w:rsidR="00EF4CB8" w:rsidRPr="00EF4CB8">
        <w:rPr>
          <w:b/>
          <w:bCs/>
          <w:sz w:val="32"/>
          <w:szCs w:val="32"/>
        </w:rPr>
        <w:t>e</w:t>
      </w:r>
      <w:r w:rsidR="000403F3" w:rsidRPr="00E451A6">
        <w:rPr>
          <w:b/>
          <w:bCs/>
          <w:sz w:val="32"/>
          <w:szCs w:val="32"/>
        </w:rPr>
        <w:t xml:space="preserve"> of all equities will be determined by their per share values at the end of trading on </w:t>
      </w:r>
      <w:r w:rsidR="00733BFF">
        <w:rPr>
          <w:b/>
          <w:bCs/>
          <w:sz w:val="32"/>
          <w:szCs w:val="32"/>
        </w:rPr>
        <w:t>De</w:t>
      </w:r>
      <w:r w:rsidR="009F4FDB">
        <w:rPr>
          <w:b/>
          <w:bCs/>
          <w:sz w:val="32"/>
          <w:szCs w:val="32"/>
        </w:rPr>
        <w:t>cember</w:t>
      </w:r>
      <w:r w:rsidR="00320DB1">
        <w:rPr>
          <w:b/>
          <w:bCs/>
          <w:sz w:val="32"/>
          <w:szCs w:val="32"/>
        </w:rPr>
        <w:t xml:space="preserve"> 31</w:t>
      </w:r>
      <w:r w:rsidR="000403F3" w:rsidRPr="00E451A6">
        <w:rPr>
          <w:b/>
          <w:bCs/>
          <w:sz w:val="32"/>
          <w:szCs w:val="32"/>
        </w:rPr>
        <w:t>, 202</w:t>
      </w:r>
      <w:r w:rsidR="00767CD7">
        <w:rPr>
          <w:b/>
          <w:bCs/>
          <w:sz w:val="32"/>
          <w:szCs w:val="32"/>
        </w:rPr>
        <w:t>5</w:t>
      </w:r>
      <w:r w:rsidR="000403F3" w:rsidRPr="00E451A6">
        <w:rPr>
          <w:b/>
          <w:bCs/>
          <w:sz w:val="32"/>
          <w:szCs w:val="32"/>
        </w:rPr>
        <w:t>.</w:t>
      </w:r>
    </w:p>
    <w:p w14:paraId="39190D49" w14:textId="4F628884" w:rsidR="00E74E6A" w:rsidRDefault="00E74E6A" w:rsidP="00EC0264">
      <w:pPr>
        <w:rPr>
          <w:sz w:val="32"/>
          <w:szCs w:val="32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"/>
        <w:gridCol w:w="3175"/>
        <w:gridCol w:w="2098"/>
        <w:gridCol w:w="4849"/>
        <w:gridCol w:w="24"/>
      </w:tblGrid>
      <w:tr w:rsidR="009A31F6" w14:paraId="0454029D" w14:textId="124C7FB2" w:rsidTr="00DF0FBD">
        <w:trPr>
          <w:trHeight w:val="664"/>
        </w:trPr>
        <w:tc>
          <w:tcPr>
            <w:tcW w:w="3222" w:type="dxa"/>
            <w:gridSpan w:val="2"/>
          </w:tcPr>
          <w:p w14:paraId="52899CDF" w14:textId="421BDAC2" w:rsidR="009A31F6" w:rsidRPr="00041376" w:rsidRDefault="009A31F6" w:rsidP="009A31F6">
            <w:pPr>
              <w:ind w:left="10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Club or Individuals Name</w:t>
            </w:r>
          </w:p>
        </w:tc>
        <w:tc>
          <w:tcPr>
            <w:tcW w:w="2098" w:type="dxa"/>
          </w:tcPr>
          <w:p w14:paraId="172204B6" w14:textId="69C8136D" w:rsidR="009A31F6" w:rsidRPr="00041376" w:rsidRDefault="009A31F6" w:rsidP="009A31F6">
            <w:pPr>
              <w:ind w:left="242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City</w:t>
            </w:r>
          </w:p>
        </w:tc>
        <w:tc>
          <w:tcPr>
            <w:tcW w:w="4873" w:type="dxa"/>
            <w:gridSpan w:val="2"/>
          </w:tcPr>
          <w:p w14:paraId="1BCB78A7" w14:textId="77777777" w:rsidR="009A31F6" w:rsidRPr="00041376" w:rsidRDefault="009A31F6" w:rsidP="009A31F6">
            <w:pPr>
              <w:ind w:left="174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State</w:t>
            </w:r>
          </w:p>
        </w:tc>
      </w:tr>
      <w:tr w:rsidR="009A31F6" w14:paraId="6C8507E7" w14:textId="19E293BF" w:rsidTr="00FD6B51">
        <w:trPr>
          <w:gridBefore w:val="1"/>
          <w:gridAfter w:val="1"/>
          <w:wBefore w:w="47" w:type="dxa"/>
          <w:wAfter w:w="24" w:type="dxa"/>
          <w:trHeight w:val="490"/>
        </w:trPr>
        <w:tc>
          <w:tcPr>
            <w:tcW w:w="3175" w:type="dxa"/>
          </w:tcPr>
          <w:p w14:paraId="4CB23AC2" w14:textId="44E18561" w:rsidR="009A31F6" w:rsidRPr="00041376" w:rsidRDefault="009A31F6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Company Name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6AF854A4" w14:textId="37FCFCFB" w:rsidR="009A31F6" w:rsidRPr="00041376" w:rsidRDefault="00056538" w:rsidP="00DF0FBD">
            <w:pPr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 xml:space="preserve">Ticker </w:t>
            </w:r>
            <w:r w:rsidR="00DF0FBD">
              <w:rPr>
                <w:sz w:val="32"/>
                <w:szCs w:val="32"/>
              </w:rPr>
              <w:t>S</w:t>
            </w:r>
            <w:r w:rsidRPr="00041376">
              <w:rPr>
                <w:sz w:val="32"/>
                <w:szCs w:val="32"/>
              </w:rPr>
              <w:t>ymbol</w:t>
            </w:r>
          </w:p>
        </w:tc>
        <w:tc>
          <w:tcPr>
            <w:tcW w:w="4849" w:type="dxa"/>
          </w:tcPr>
          <w:p w14:paraId="244ABB37" w14:textId="01833DC9" w:rsidR="009A31F6" w:rsidRPr="00041376" w:rsidRDefault="00056538" w:rsidP="00056538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Amount to Invest in this company</w:t>
            </w:r>
          </w:p>
        </w:tc>
      </w:tr>
      <w:tr w:rsidR="00FD6B51" w14:paraId="345B1EC3" w14:textId="77777777" w:rsidTr="00FD6B51">
        <w:trPr>
          <w:gridBefore w:val="1"/>
          <w:gridAfter w:val="1"/>
          <w:wBefore w:w="47" w:type="dxa"/>
          <w:wAfter w:w="24" w:type="dxa"/>
          <w:trHeight w:val="251"/>
        </w:trPr>
        <w:tc>
          <w:tcPr>
            <w:tcW w:w="3175" w:type="dxa"/>
          </w:tcPr>
          <w:p w14:paraId="0F91D38F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1.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686DD53C" w14:textId="77777777" w:rsidR="00FD6B51" w:rsidRPr="00041376" w:rsidRDefault="00FD6B51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589A5927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FD6B51" w14:paraId="7E343B5E" w14:textId="77777777" w:rsidTr="00FD6B51">
        <w:trPr>
          <w:gridBefore w:val="1"/>
          <w:gridAfter w:val="1"/>
          <w:wBefore w:w="47" w:type="dxa"/>
          <w:wAfter w:w="24" w:type="dxa"/>
          <w:trHeight w:val="540"/>
        </w:trPr>
        <w:tc>
          <w:tcPr>
            <w:tcW w:w="3175" w:type="dxa"/>
          </w:tcPr>
          <w:p w14:paraId="7FF1C6B6" w14:textId="27A0B85A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2.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796132BE" w14:textId="77777777" w:rsidR="00FD6B51" w:rsidRPr="00041376" w:rsidRDefault="00FD6B51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20E4A254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FD6B51" w14:paraId="4E425F45" w14:textId="77777777" w:rsidTr="00FD6B51">
        <w:trPr>
          <w:gridBefore w:val="1"/>
          <w:gridAfter w:val="1"/>
          <w:wBefore w:w="47" w:type="dxa"/>
          <w:wAfter w:w="24" w:type="dxa"/>
          <w:trHeight w:val="450"/>
        </w:trPr>
        <w:tc>
          <w:tcPr>
            <w:tcW w:w="3175" w:type="dxa"/>
          </w:tcPr>
          <w:p w14:paraId="35D37D20" w14:textId="67679A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3.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0D740387" w14:textId="77777777" w:rsidR="00FD6B51" w:rsidRPr="00041376" w:rsidRDefault="00FD6B51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36B80FC9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FD6B51" w14:paraId="38503BF5" w14:textId="77777777" w:rsidTr="00FD6B51">
        <w:trPr>
          <w:gridBefore w:val="1"/>
          <w:gridAfter w:val="1"/>
          <w:wBefore w:w="47" w:type="dxa"/>
          <w:wAfter w:w="24" w:type="dxa"/>
          <w:trHeight w:val="480"/>
        </w:trPr>
        <w:tc>
          <w:tcPr>
            <w:tcW w:w="3175" w:type="dxa"/>
          </w:tcPr>
          <w:p w14:paraId="6FC8975B" w14:textId="66A2997C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4.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7D637D35" w14:textId="77777777" w:rsidR="00FD6B51" w:rsidRPr="00041376" w:rsidRDefault="00FD6B51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6CC763E5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FD6B51" w14:paraId="632231FF" w14:textId="77777777" w:rsidTr="00786B42">
        <w:trPr>
          <w:gridBefore w:val="1"/>
          <w:gridAfter w:val="1"/>
          <w:wBefore w:w="47" w:type="dxa"/>
          <w:wAfter w:w="24" w:type="dxa"/>
          <w:trHeight w:val="560"/>
        </w:trPr>
        <w:tc>
          <w:tcPr>
            <w:tcW w:w="3175" w:type="dxa"/>
          </w:tcPr>
          <w:p w14:paraId="6FEC9A3D" w14:textId="547ADD56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5.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62E61C48" w14:textId="77777777" w:rsidR="00FD6B51" w:rsidRPr="00041376" w:rsidRDefault="00FD6B51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30D7D564" w14:textId="77777777" w:rsidR="00FD6B51" w:rsidRPr="00041376" w:rsidRDefault="00FD6B51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63794E1E" w14:textId="77777777" w:rsidTr="00786B42">
        <w:trPr>
          <w:gridBefore w:val="1"/>
          <w:gridAfter w:val="1"/>
          <w:wBefore w:w="47" w:type="dxa"/>
          <w:wAfter w:w="24" w:type="dxa"/>
          <w:trHeight w:val="520"/>
        </w:trPr>
        <w:tc>
          <w:tcPr>
            <w:tcW w:w="3175" w:type="dxa"/>
          </w:tcPr>
          <w:p w14:paraId="18B23602" w14:textId="03789DEC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6.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07CE9870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1BBAAC86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0225CB0E" w14:textId="77777777" w:rsidTr="00786B42">
        <w:trPr>
          <w:gridBefore w:val="1"/>
          <w:gridAfter w:val="1"/>
          <w:wBefore w:w="47" w:type="dxa"/>
          <w:wAfter w:w="24" w:type="dxa"/>
          <w:trHeight w:val="540"/>
        </w:trPr>
        <w:tc>
          <w:tcPr>
            <w:tcW w:w="3175" w:type="dxa"/>
          </w:tcPr>
          <w:p w14:paraId="48A35A98" w14:textId="39136EBA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7.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3DD747D2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06EB0B86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69023FF4" w14:textId="77777777" w:rsidTr="00786B42">
        <w:trPr>
          <w:gridBefore w:val="1"/>
          <w:gridAfter w:val="1"/>
          <w:wBefore w:w="47" w:type="dxa"/>
          <w:wAfter w:w="24" w:type="dxa"/>
          <w:trHeight w:val="530"/>
        </w:trPr>
        <w:tc>
          <w:tcPr>
            <w:tcW w:w="3175" w:type="dxa"/>
          </w:tcPr>
          <w:p w14:paraId="01AE1CD9" w14:textId="2AF3D425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8.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0F954F08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6E05A119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44380E5A" w14:textId="77777777" w:rsidTr="00786B42">
        <w:trPr>
          <w:gridBefore w:val="1"/>
          <w:gridAfter w:val="1"/>
          <w:wBefore w:w="47" w:type="dxa"/>
          <w:wAfter w:w="24" w:type="dxa"/>
          <w:trHeight w:val="490"/>
        </w:trPr>
        <w:tc>
          <w:tcPr>
            <w:tcW w:w="3175" w:type="dxa"/>
          </w:tcPr>
          <w:p w14:paraId="3798C08B" w14:textId="372D0734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9.</w:t>
            </w:r>
          </w:p>
        </w:tc>
        <w:tc>
          <w:tcPr>
            <w:tcW w:w="2098" w:type="dxa"/>
          </w:tcPr>
          <w:p w14:paraId="7A1F5CA6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20324970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3E5B85F5" w14:textId="77777777" w:rsidTr="00786B42">
        <w:trPr>
          <w:gridBefore w:val="1"/>
          <w:gridAfter w:val="1"/>
          <w:wBefore w:w="47" w:type="dxa"/>
          <w:wAfter w:w="24" w:type="dxa"/>
          <w:trHeight w:val="530"/>
        </w:trPr>
        <w:tc>
          <w:tcPr>
            <w:tcW w:w="3175" w:type="dxa"/>
          </w:tcPr>
          <w:p w14:paraId="38D1C677" w14:textId="085403F4" w:rsidR="00786B42" w:rsidRPr="00041376" w:rsidRDefault="00786B42" w:rsidP="00056538">
            <w:pPr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10.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62B79640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380BF8FB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  <w:tr w:rsidR="00786B42" w14:paraId="03D8360B" w14:textId="77777777" w:rsidTr="00786B42">
        <w:trPr>
          <w:gridBefore w:val="1"/>
          <w:gridAfter w:val="1"/>
          <w:wBefore w:w="47" w:type="dxa"/>
          <w:wAfter w:w="24" w:type="dxa"/>
          <w:trHeight w:val="629"/>
        </w:trPr>
        <w:tc>
          <w:tcPr>
            <w:tcW w:w="3175" w:type="dxa"/>
          </w:tcPr>
          <w:p w14:paraId="223B15FA" w14:textId="77777777" w:rsidR="00786B42" w:rsidRPr="00041376" w:rsidRDefault="00786B42" w:rsidP="00056538">
            <w:pPr>
              <w:ind w:left="60"/>
              <w:rPr>
                <w:sz w:val="32"/>
                <w:szCs w:val="32"/>
              </w:rPr>
            </w:pPr>
            <w:r w:rsidRPr="00041376">
              <w:rPr>
                <w:sz w:val="32"/>
                <w:szCs w:val="32"/>
              </w:rPr>
              <w:t>Total</w:t>
            </w:r>
            <w:r w:rsidRPr="00041376">
              <w:rPr>
                <w:sz w:val="32"/>
                <w:szCs w:val="32"/>
              </w:rPr>
              <w:tab/>
            </w:r>
            <w:r w:rsidRPr="00041376">
              <w:rPr>
                <w:sz w:val="32"/>
                <w:szCs w:val="32"/>
              </w:rPr>
              <w:tab/>
            </w:r>
          </w:p>
        </w:tc>
        <w:tc>
          <w:tcPr>
            <w:tcW w:w="2098" w:type="dxa"/>
          </w:tcPr>
          <w:p w14:paraId="4FC6DB68" w14:textId="77777777" w:rsidR="00786B42" w:rsidRPr="00041376" w:rsidRDefault="00786B42" w:rsidP="00DF0FBD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1ADBF87B" w14:textId="77777777" w:rsidR="00786B42" w:rsidRPr="00041376" w:rsidRDefault="00786B42" w:rsidP="009A31F6">
            <w:pPr>
              <w:ind w:left="60"/>
              <w:rPr>
                <w:sz w:val="32"/>
                <w:szCs w:val="32"/>
              </w:rPr>
            </w:pPr>
          </w:p>
        </w:tc>
      </w:tr>
    </w:tbl>
    <w:p w14:paraId="71A31D7F" w14:textId="77777777" w:rsidR="00A25227" w:rsidRDefault="00A25227" w:rsidP="00A643EA"/>
    <w:p w14:paraId="533E699C" w14:textId="61576AA5" w:rsidR="00A643EA" w:rsidRDefault="00A643EA" w:rsidP="00A643EA">
      <w:r>
        <w:tab/>
      </w:r>
      <w:r>
        <w:tab/>
      </w:r>
    </w:p>
    <w:p w14:paraId="5445F6E8" w14:textId="77777777" w:rsidR="008D706A" w:rsidRPr="00220D86" w:rsidRDefault="008D706A" w:rsidP="00A643EA">
      <w:pPr>
        <w:rPr>
          <w:rFonts w:cstheme="minorHAnsi"/>
          <w:sz w:val="32"/>
          <w:szCs w:val="32"/>
        </w:rPr>
      </w:pPr>
    </w:p>
    <w:sectPr w:rsidR="008D706A" w:rsidRPr="00220D86" w:rsidSect="00050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65A0D"/>
    <w:multiLevelType w:val="hybridMultilevel"/>
    <w:tmpl w:val="CDEC9394"/>
    <w:lvl w:ilvl="0" w:tplc="54B65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8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A"/>
    <w:rsid w:val="000107CD"/>
    <w:rsid w:val="00034563"/>
    <w:rsid w:val="000403F3"/>
    <w:rsid w:val="00041376"/>
    <w:rsid w:val="0005090F"/>
    <w:rsid w:val="00056538"/>
    <w:rsid w:val="000E1935"/>
    <w:rsid w:val="00142960"/>
    <w:rsid w:val="0015030D"/>
    <w:rsid w:val="00174532"/>
    <w:rsid w:val="0018011B"/>
    <w:rsid w:val="001D0836"/>
    <w:rsid w:val="001E083F"/>
    <w:rsid w:val="00220D86"/>
    <w:rsid w:val="0022114D"/>
    <w:rsid w:val="00277E91"/>
    <w:rsid w:val="0029642C"/>
    <w:rsid w:val="002A78FA"/>
    <w:rsid w:val="00320DB1"/>
    <w:rsid w:val="003269A5"/>
    <w:rsid w:val="003326AE"/>
    <w:rsid w:val="003341EE"/>
    <w:rsid w:val="00375222"/>
    <w:rsid w:val="00390F54"/>
    <w:rsid w:val="004C1C07"/>
    <w:rsid w:val="004C3E2C"/>
    <w:rsid w:val="004E1B41"/>
    <w:rsid w:val="00511AA2"/>
    <w:rsid w:val="00534BFE"/>
    <w:rsid w:val="00562C34"/>
    <w:rsid w:val="005C49ED"/>
    <w:rsid w:val="00623170"/>
    <w:rsid w:val="0063067D"/>
    <w:rsid w:val="00631655"/>
    <w:rsid w:val="006556CC"/>
    <w:rsid w:val="00676B2D"/>
    <w:rsid w:val="006D37C8"/>
    <w:rsid w:val="006E7660"/>
    <w:rsid w:val="006F5334"/>
    <w:rsid w:val="00733BFF"/>
    <w:rsid w:val="00760E35"/>
    <w:rsid w:val="00764FFC"/>
    <w:rsid w:val="00767CD7"/>
    <w:rsid w:val="00786B42"/>
    <w:rsid w:val="00791B4D"/>
    <w:rsid w:val="00812239"/>
    <w:rsid w:val="00837A39"/>
    <w:rsid w:val="008670D5"/>
    <w:rsid w:val="008D706A"/>
    <w:rsid w:val="00952636"/>
    <w:rsid w:val="00973AC4"/>
    <w:rsid w:val="009768EC"/>
    <w:rsid w:val="0099659F"/>
    <w:rsid w:val="009A31F6"/>
    <w:rsid w:val="009F12E6"/>
    <w:rsid w:val="009F4FDB"/>
    <w:rsid w:val="009F5E0D"/>
    <w:rsid w:val="00A02AAC"/>
    <w:rsid w:val="00A25227"/>
    <w:rsid w:val="00A631F0"/>
    <w:rsid w:val="00A643EA"/>
    <w:rsid w:val="00B578A0"/>
    <w:rsid w:val="00B833D4"/>
    <w:rsid w:val="00BB2450"/>
    <w:rsid w:val="00C00C2C"/>
    <w:rsid w:val="00C220DB"/>
    <w:rsid w:val="00C72E8C"/>
    <w:rsid w:val="00D77D4E"/>
    <w:rsid w:val="00DE4638"/>
    <w:rsid w:val="00DF0FBD"/>
    <w:rsid w:val="00E0767D"/>
    <w:rsid w:val="00E26C55"/>
    <w:rsid w:val="00E74E6A"/>
    <w:rsid w:val="00EB291B"/>
    <w:rsid w:val="00EC0264"/>
    <w:rsid w:val="00ED08E7"/>
    <w:rsid w:val="00EF4CB8"/>
    <w:rsid w:val="00F3505A"/>
    <w:rsid w:val="00F4504F"/>
    <w:rsid w:val="00F604F9"/>
    <w:rsid w:val="00F80BE3"/>
    <w:rsid w:val="00FA47AA"/>
    <w:rsid w:val="00FB270C"/>
    <w:rsid w:val="00FD6B51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116"/>
  <w15:chartTrackingRefBased/>
  <w15:docId w15:val="{8C68156E-9E60-4E8B-9B59-C7C07A8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E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3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ubsupport@georgia.betterinvesting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0273-CE1C-447A-AA3B-4C9C72FA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Johnson</dc:creator>
  <cp:keywords/>
  <dc:description/>
  <cp:lastModifiedBy>Howard Johnson</cp:lastModifiedBy>
  <cp:revision>20</cp:revision>
  <cp:lastPrinted>2022-11-09T03:41:00Z</cp:lastPrinted>
  <dcterms:created xsi:type="dcterms:W3CDTF">2023-12-03T01:11:00Z</dcterms:created>
  <dcterms:modified xsi:type="dcterms:W3CDTF">2024-11-14T06:30:00Z</dcterms:modified>
</cp:coreProperties>
</file>